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C1" w:rsidRPr="006F79BF" w:rsidRDefault="0093068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r w:rsidR="00C306D6">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A55CCE" w:rsidRPr="00914513" w:rsidRDefault="00A55CCE" w:rsidP="00A55CCE">
      <w:pPr>
        <w:spacing w:line="220" w:lineRule="exact"/>
        <w:ind w:left="709" w:hanging="709"/>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rsidR="00A55CCE" w:rsidRPr="00914513" w:rsidRDefault="00A55CCE" w:rsidP="00A55CCE">
      <w:pPr>
        <w:spacing w:line="220" w:lineRule="exact"/>
        <w:ind w:firstLine="709"/>
        <w:jc w:val="both"/>
        <w:rPr>
          <w:lang w:val="uk-UA"/>
        </w:rPr>
      </w:pPr>
      <w:r w:rsidRPr="00914513">
        <w:rPr>
          <w:lang w:val="uk-UA"/>
        </w:rPr>
        <w:t xml:space="preserve">вул. П. Майбороди, б. 8, Шевченківський </w:t>
      </w:r>
      <w:proofErr w:type="spellStart"/>
      <w:r w:rsidRPr="00914513">
        <w:rPr>
          <w:lang w:val="uk-UA"/>
        </w:rPr>
        <w:t>рн</w:t>
      </w:r>
      <w:proofErr w:type="spellEnd"/>
      <w:r w:rsidRPr="00914513">
        <w:rPr>
          <w:lang w:val="uk-UA"/>
        </w:rPr>
        <w:t>,  м. Київ, 04050</w:t>
      </w:r>
    </w:p>
    <w:p w:rsidR="00A55CCE" w:rsidRPr="00914513" w:rsidRDefault="00A55CCE" w:rsidP="00A55CCE">
      <w:pPr>
        <w:spacing w:line="220" w:lineRule="exact"/>
        <w:ind w:firstLine="708"/>
        <w:jc w:val="both"/>
        <w:rPr>
          <w:lang w:val="uk-UA"/>
        </w:rPr>
      </w:pPr>
      <w:r w:rsidRPr="00914513">
        <w:rPr>
          <w:lang w:val="uk-UA"/>
        </w:rPr>
        <w:t>Код згідно з ЄДРПОУ замовника:  45460659</w:t>
      </w:r>
    </w:p>
    <w:p w:rsidR="00A55CCE" w:rsidRPr="00914513" w:rsidRDefault="00A55CCE" w:rsidP="00A55CCE">
      <w:pPr>
        <w:spacing w:line="220" w:lineRule="exact"/>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15076E" w:rsidRPr="00CE0745" w:rsidRDefault="00CE0745" w:rsidP="008565F9">
      <w:pPr>
        <w:spacing w:line="220" w:lineRule="exact"/>
        <w:ind w:left="709" w:hanging="1"/>
        <w:jc w:val="both"/>
        <w:rPr>
          <w:lang w:val="uk-UA"/>
        </w:rPr>
      </w:pPr>
      <w:r w:rsidRPr="00CE0745">
        <w:rPr>
          <w:lang w:val="uk-UA"/>
        </w:rPr>
        <w:t>ДК 021:2015: 38430000-8 «</w:t>
      </w:r>
      <w:r w:rsidRPr="00CE0745">
        <w:rPr>
          <w:shd w:val="clear" w:color="auto" w:fill="FFFFFF"/>
          <w:lang w:val="uk-UA"/>
        </w:rPr>
        <w:t>Детектори та аналізатори</w:t>
      </w:r>
      <w:r w:rsidRPr="00CE0745">
        <w:rPr>
          <w:lang w:val="uk-UA"/>
        </w:rPr>
        <w:t>»</w:t>
      </w:r>
      <w:r w:rsidRPr="00CE0745">
        <w:rPr>
          <w:snapToGrid w:val="0"/>
          <w:lang w:val="uk-UA"/>
        </w:rPr>
        <w:t xml:space="preserve"> (</w:t>
      </w:r>
      <w:r w:rsidRPr="00CE0745">
        <w:rPr>
          <w:lang w:val="uk-UA"/>
        </w:rPr>
        <w:t>Шейкер орбітальний</w:t>
      </w:r>
      <w:r w:rsidRPr="00CE0745">
        <w:rPr>
          <w:bCs/>
          <w:lang w:val="uk-UA"/>
        </w:rPr>
        <w:t xml:space="preserve">, НК 024:2023: </w:t>
      </w:r>
      <w:r w:rsidRPr="00CE0745">
        <w:rPr>
          <w:lang w:val="uk-UA"/>
        </w:rPr>
        <w:t>15178 – Лабораторний шейкер</w:t>
      </w:r>
      <w:r w:rsidRPr="00CE0745">
        <w:rPr>
          <w:snapToGrid w:val="0"/>
          <w:lang w:val="uk-UA"/>
        </w:rPr>
        <w:t>)</w:t>
      </w:r>
    </w:p>
    <w:p w:rsidR="008565F9" w:rsidRPr="000F0C49" w:rsidRDefault="008565F9" w:rsidP="008565F9">
      <w:pPr>
        <w:spacing w:line="220" w:lineRule="exact"/>
        <w:ind w:left="709" w:hanging="1"/>
        <w:jc w:val="both"/>
        <w:rPr>
          <w:lang w:val="uk-UA"/>
        </w:rPr>
      </w:pPr>
    </w:p>
    <w:p w:rsidR="00DC6EE8" w:rsidRPr="006F79BF" w:rsidRDefault="0015076E" w:rsidP="0047272A">
      <w:pPr>
        <w:spacing w:line="220" w:lineRule="exact"/>
        <w:ind w:firstLine="708"/>
        <w:jc w:val="both"/>
        <w:rPr>
          <w:shd w:val="clear" w:color="auto" w:fill="FFFFFF"/>
          <w:lang w:val="uk-UA"/>
        </w:rPr>
      </w:pPr>
      <w:r w:rsidRPr="00885D17">
        <w:rPr>
          <w:lang w:val="uk-UA"/>
        </w:rPr>
        <w:t xml:space="preserve">3. </w:t>
      </w:r>
      <w:r w:rsidR="00DC6EE8" w:rsidRPr="00885D17">
        <w:rPr>
          <w:b/>
          <w:lang w:val="uk-UA"/>
        </w:rPr>
        <w:t>Ідентифікатор закупівлі</w:t>
      </w:r>
      <w:r w:rsidR="00DC6EE8" w:rsidRPr="00885D17">
        <w:rPr>
          <w:lang w:val="uk-UA"/>
        </w:rPr>
        <w:t xml:space="preserve">: </w:t>
      </w:r>
      <w:r w:rsidR="00CE0745" w:rsidRPr="00CE0745">
        <w:t>UA-2024-12-03-017732-a</w:t>
      </w:r>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0F0C49" w:rsidRDefault="000F0C49" w:rsidP="000F0C49">
      <w:pPr>
        <w:autoSpaceDE w:val="0"/>
        <w:autoSpaceDN w:val="0"/>
        <w:adjustRightInd w:val="0"/>
        <w:spacing w:line="220" w:lineRule="exact"/>
        <w:ind w:firstLine="709"/>
        <w:jc w:val="both"/>
        <w:rPr>
          <w:lang w:val="uk-UA"/>
        </w:rPr>
      </w:pPr>
      <w:r w:rsidRPr="000B08F6">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9230EA">
        <w:rPr>
          <w:lang w:val="uk-UA"/>
        </w:rPr>
        <w:t xml:space="preserve">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FA61BF" w:rsidRDefault="00FA61BF" w:rsidP="000F0C49">
      <w:pPr>
        <w:autoSpaceDE w:val="0"/>
        <w:autoSpaceDN w:val="0"/>
        <w:adjustRightInd w:val="0"/>
        <w:spacing w:line="220" w:lineRule="exact"/>
        <w:ind w:firstLine="709"/>
        <w:jc w:val="both"/>
        <w:rPr>
          <w:lang w:val="uk-UA"/>
        </w:rPr>
      </w:pPr>
    </w:p>
    <w:tbl>
      <w:tblPr>
        <w:tblStyle w:val="a8"/>
        <w:tblW w:w="10207" w:type="dxa"/>
        <w:tblInd w:w="108" w:type="dxa"/>
        <w:tblLayout w:type="fixed"/>
        <w:tblLook w:val="04A0" w:firstRow="1" w:lastRow="0" w:firstColumn="1" w:lastColumn="0" w:noHBand="0" w:noVBand="1"/>
      </w:tblPr>
      <w:tblGrid>
        <w:gridCol w:w="703"/>
        <w:gridCol w:w="4968"/>
        <w:gridCol w:w="1984"/>
        <w:gridCol w:w="2552"/>
      </w:tblGrid>
      <w:tr w:rsidR="00CE0745" w:rsidRPr="00A0266E" w:rsidTr="009A71FD">
        <w:trPr>
          <w:trHeight w:val="562"/>
        </w:trPr>
        <w:tc>
          <w:tcPr>
            <w:tcW w:w="703" w:type="dxa"/>
            <w:vAlign w:val="center"/>
          </w:tcPr>
          <w:p w:rsidR="00CE0745" w:rsidRPr="00A0266E" w:rsidRDefault="00CE0745" w:rsidP="009A71FD">
            <w:pPr>
              <w:spacing w:line="240" w:lineRule="exact"/>
              <w:jc w:val="center"/>
              <w:rPr>
                <w:b/>
                <w:bCs/>
                <w:lang w:val="uk-UA"/>
              </w:rPr>
            </w:pPr>
            <w:r w:rsidRPr="00A0266E">
              <w:rPr>
                <w:b/>
                <w:bCs/>
                <w:lang w:val="uk-UA"/>
              </w:rPr>
              <w:t>№ з/п</w:t>
            </w:r>
          </w:p>
        </w:tc>
        <w:tc>
          <w:tcPr>
            <w:tcW w:w="4968" w:type="dxa"/>
            <w:shd w:val="clear" w:color="auto" w:fill="auto"/>
            <w:vAlign w:val="center"/>
          </w:tcPr>
          <w:p w:rsidR="00CE0745" w:rsidRPr="00A0266E" w:rsidRDefault="00CE0745" w:rsidP="009A71FD">
            <w:pPr>
              <w:spacing w:line="240" w:lineRule="exact"/>
              <w:jc w:val="center"/>
              <w:rPr>
                <w:lang w:val="uk-UA"/>
              </w:rPr>
            </w:pPr>
            <w:r w:rsidRPr="00A0266E">
              <w:rPr>
                <w:b/>
                <w:lang w:val="uk-UA"/>
              </w:rPr>
              <w:t>Характеристики предмету закупівлі</w:t>
            </w:r>
          </w:p>
        </w:tc>
        <w:tc>
          <w:tcPr>
            <w:tcW w:w="1984" w:type="dxa"/>
            <w:shd w:val="clear" w:color="auto" w:fill="auto"/>
            <w:vAlign w:val="center"/>
          </w:tcPr>
          <w:p w:rsidR="00CE0745" w:rsidRPr="00A0266E" w:rsidRDefault="00CE0745" w:rsidP="009A71FD">
            <w:pPr>
              <w:spacing w:line="240" w:lineRule="exact"/>
              <w:jc w:val="center"/>
              <w:rPr>
                <w:b/>
                <w:lang w:val="uk-UA"/>
              </w:rPr>
            </w:pPr>
            <w:r w:rsidRPr="00A0266E">
              <w:rPr>
                <w:b/>
                <w:lang w:val="uk-UA"/>
              </w:rPr>
              <w:t>Вимоги</w:t>
            </w:r>
          </w:p>
        </w:tc>
        <w:tc>
          <w:tcPr>
            <w:tcW w:w="2552" w:type="dxa"/>
          </w:tcPr>
          <w:p w:rsidR="00CE0745" w:rsidRPr="00A0266E" w:rsidRDefault="00CE0745" w:rsidP="009A71FD">
            <w:pPr>
              <w:spacing w:line="240" w:lineRule="exact"/>
              <w:jc w:val="center"/>
              <w:rPr>
                <w:b/>
                <w:lang w:val="uk-UA"/>
              </w:rPr>
            </w:pPr>
            <w:r w:rsidRPr="00A0266E">
              <w:rPr>
                <w:rFonts w:eastAsia="Calibri"/>
                <w:b/>
                <w:lang w:val="uk-UA"/>
              </w:rPr>
              <w:t>Заповнюється Учасником, Зазначити «так» чи «ні» з посилання на розділ та/або сторінку технічної документації</w:t>
            </w: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1</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Орбітальний шейкер повинен бути призначеним для перемішування і збовтування біологічних рідин і розчинів в пробірках і лабораторному посуді з пласким дном (колбах, склянках, чашках Петрі і т. п.)</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наявність</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2</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Шейкер повинен складатися з корпусу і встановленої на нього металевої платформи</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наявність</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3</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Кріплення посуду на платформі має здійснюватися за допомогою роликових </w:t>
            </w:r>
            <w:proofErr w:type="spellStart"/>
            <w:r w:rsidRPr="00A0266E">
              <w:rPr>
                <w:lang w:val="uk-UA"/>
              </w:rPr>
              <w:t>зажимів</w:t>
            </w:r>
            <w:proofErr w:type="spellEnd"/>
            <w:r w:rsidRPr="00A0266E">
              <w:rPr>
                <w:lang w:val="uk-UA"/>
              </w:rPr>
              <w:t>/або магнітних упорів. Магнітні упори не менше 6 штук повинні бути в наявності</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наявність</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4</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Панель керування з екраном та сенсорними кнопками повинна бути спереду. </w:t>
            </w:r>
          </w:p>
          <w:p w:rsidR="00CE0745" w:rsidRPr="00A0266E" w:rsidRDefault="00CE0745" w:rsidP="009A71FD">
            <w:pPr>
              <w:tabs>
                <w:tab w:val="left" w:pos="360"/>
              </w:tabs>
              <w:spacing w:line="240" w:lineRule="exact"/>
              <w:rPr>
                <w:lang w:val="uk-UA"/>
              </w:rPr>
            </w:pPr>
            <w:r w:rsidRPr="00A0266E">
              <w:rPr>
                <w:lang w:val="uk-UA"/>
              </w:rPr>
              <w:t xml:space="preserve">Повинна відображати: </w:t>
            </w:r>
          </w:p>
          <w:p w:rsidR="00CE0745" w:rsidRPr="00A0266E" w:rsidRDefault="00CE0745" w:rsidP="009A71FD">
            <w:pPr>
              <w:tabs>
                <w:tab w:val="left" w:pos="360"/>
              </w:tabs>
              <w:spacing w:line="240" w:lineRule="exact"/>
              <w:rPr>
                <w:lang w:val="uk-UA"/>
              </w:rPr>
            </w:pPr>
            <w:r w:rsidRPr="00A0266E">
              <w:rPr>
                <w:lang w:val="uk-UA"/>
              </w:rPr>
              <w:t>час роботи, частоту обертання (RPM або об/хв), обраний режим перемішування, кроки обраного режиму</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наявність</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5</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Шейкер повинен мати не менше 4 режимів перемішування: </w:t>
            </w:r>
          </w:p>
          <w:p w:rsidR="00CE0745" w:rsidRPr="00A0266E" w:rsidRDefault="00CE0745" w:rsidP="009A71FD">
            <w:pPr>
              <w:tabs>
                <w:tab w:val="left" w:pos="360"/>
              </w:tabs>
              <w:spacing w:line="240" w:lineRule="exact"/>
              <w:rPr>
                <w:lang w:val="uk-UA"/>
              </w:rPr>
            </w:pPr>
            <w:r w:rsidRPr="00A0266E">
              <w:rPr>
                <w:lang w:val="uk-UA"/>
              </w:rPr>
              <w:t>-  Режим орбітального обертання</w:t>
            </w:r>
          </w:p>
          <w:p w:rsidR="00CE0745" w:rsidRPr="00A0266E" w:rsidRDefault="00CE0745" w:rsidP="009A71FD">
            <w:pPr>
              <w:tabs>
                <w:tab w:val="left" w:pos="360"/>
              </w:tabs>
              <w:spacing w:line="240" w:lineRule="exact"/>
              <w:rPr>
                <w:lang w:val="uk-UA"/>
              </w:rPr>
            </w:pPr>
            <w:r w:rsidRPr="00A0266E">
              <w:rPr>
                <w:lang w:val="uk-UA"/>
              </w:rPr>
              <w:t xml:space="preserve">-  </w:t>
            </w:r>
            <w:proofErr w:type="spellStart"/>
            <w:r w:rsidRPr="00A0266E">
              <w:rPr>
                <w:lang w:val="uk-UA"/>
              </w:rPr>
              <w:t>Автореверс</w:t>
            </w:r>
            <w:proofErr w:type="spellEnd"/>
          </w:p>
          <w:p w:rsidR="00CE0745" w:rsidRPr="00A0266E" w:rsidRDefault="00CE0745" w:rsidP="009A71FD">
            <w:pPr>
              <w:tabs>
                <w:tab w:val="left" w:pos="360"/>
              </w:tabs>
              <w:spacing w:line="240" w:lineRule="exact"/>
              <w:rPr>
                <w:lang w:val="uk-UA"/>
              </w:rPr>
            </w:pPr>
            <w:r w:rsidRPr="00A0266E">
              <w:rPr>
                <w:lang w:val="uk-UA"/>
              </w:rPr>
              <w:t xml:space="preserve">-  Режим </w:t>
            </w:r>
            <w:proofErr w:type="spellStart"/>
            <w:r w:rsidRPr="00A0266E">
              <w:rPr>
                <w:lang w:val="uk-UA"/>
              </w:rPr>
              <w:t>зворотньо</w:t>
            </w:r>
            <w:proofErr w:type="spellEnd"/>
            <w:r w:rsidRPr="00A0266E">
              <w:rPr>
                <w:lang w:val="uk-UA"/>
              </w:rPr>
              <w:t xml:space="preserve">-поступального руху з </w:t>
            </w:r>
            <w:r w:rsidRPr="00A0266E">
              <w:rPr>
                <w:lang w:val="uk-UA"/>
              </w:rPr>
              <w:lastRenderedPageBreak/>
              <w:t>можливістю налаштування кута повороту платформи в межах 10</w:t>
            </w:r>
            <w:r w:rsidRPr="00A0266E">
              <w:rPr>
                <w:vertAlign w:val="superscript"/>
                <w:lang w:val="uk-UA"/>
              </w:rPr>
              <w:t>о</w:t>
            </w:r>
            <w:r w:rsidRPr="00A0266E">
              <w:rPr>
                <w:lang w:val="uk-UA"/>
              </w:rPr>
              <w:t>-360</w:t>
            </w:r>
            <w:r w:rsidRPr="00A0266E">
              <w:rPr>
                <w:vertAlign w:val="superscript"/>
                <w:lang w:val="uk-UA"/>
              </w:rPr>
              <w:t>о</w:t>
            </w:r>
          </w:p>
          <w:p w:rsidR="00CE0745" w:rsidRPr="00A0266E" w:rsidRDefault="00CE0745" w:rsidP="009A71FD">
            <w:pPr>
              <w:tabs>
                <w:tab w:val="left" w:pos="360"/>
              </w:tabs>
              <w:spacing w:line="240" w:lineRule="exact"/>
              <w:rPr>
                <w:lang w:val="uk-UA"/>
              </w:rPr>
            </w:pPr>
            <w:r w:rsidRPr="00A0266E">
              <w:rPr>
                <w:lang w:val="uk-UA"/>
              </w:rPr>
              <w:t>-  Режим вібрації з можливістю налаштовування амплітуди струшування в межах 1-2 мм</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lastRenderedPageBreak/>
              <w:t>наявність</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lastRenderedPageBreak/>
              <w:t>6</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Повинна бути можливість створення користувальницьких програм з комбінованими режимами, з зацикленням різних фаз перемішування</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наявність</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403"/>
        </w:trPr>
        <w:tc>
          <w:tcPr>
            <w:tcW w:w="703" w:type="dxa"/>
            <w:vAlign w:val="center"/>
          </w:tcPr>
          <w:p w:rsidR="00CE0745" w:rsidRPr="00A0266E" w:rsidRDefault="00CE0745" w:rsidP="009A71FD">
            <w:pPr>
              <w:spacing w:line="240" w:lineRule="exact"/>
              <w:jc w:val="center"/>
              <w:rPr>
                <w:lang w:val="uk-UA"/>
              </w:rPr>
            </w:pPr>
            <w:r w:rsidRPr="00A0266E">
              <w:rPr>
                <w:lang w:val="uk-UA"/>
              </w:rPr>
              <w:t>7</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Вантажопідйомність платформи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не менше 7 кг</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8</w:t>
            </w:r>
          </w:p>
        </w:tc>
        <w:tc>
          <w:tcPr>
            <w:tcW w:w="4968" w:type="dxa"/>
            <w:shd w:val="clear" w:color="auto" w:fill="auto"/>
            <w:vAlign w:val="center"/>
          </w:tcPr>
          <w:p w:rsidR="00CE0745" w:rsidRPr="00A0266E" w:rsidRDefault="00CE0745" w:rsidP="009A71FD">
            <w:pPr>
              <w:tabs>
                <w:tab w:val="left" w:pos="360"/>
              </w:tabs>
              <w:spacing w:line="240" w:lineRule="exact"/>
              <w:ind w:right="-108"/>
              <w:rPr>
                <w:lang w:val="uk-UA"/>
              </w:rPr>
            </w:pPr>
            <w:r w:rsidRPr="00A0266E">
              <w:rPr>
                <w:lang w:val="uk-UA"/>
              </w:rPr>
              <w:t>Розмір робочої платформи (</w:t>
            </w:r>
            <w:proofErr w:type="spellStart"/>
            <w:r w:rsidRPr="00A0266E">
              <w:rPr>
                <w:lang w:val="uk-UA"/>
              </w:rPr>
              <w:t>ДхШ</w:t>
            </w:r>
            <w:proofErr w:type="spellEnd"/>
            <w:r w:rsidRPr="00A0266E">
              <w:rPr>
                <w:lang w:val="uk-UA"/>
              </w:rPr>
              <w:t xml:space="preserve">)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 xml:space="preserve">не менше </w:t>
            </w:r>
          </w:p>
          <w:p w:rsidR="00CE0745" w:rsidRPr="00A0266E" w:rsidRDefault="00CE0745" w:rsidP="009A71FD">
            <w:pPr>
              <w:spacing w:line="240" w:lineRule="exact"/>
              <w:jc w:val="center"/>
              <w:rPr>
                <w:lang w:val="uk-UA"/>
              </w:rPr>
            </w:pPr>
            <w:r w:rsidRPr="00A0266E">
              <w:rPr>
                <w:lang w:val="uk-UA"/>
              </w:rPr>
              <w:t>415х295 мм</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9</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Швидкість обертання платформи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 xml:space="preserve">не гірше </w:t>
            </w:r>
          </w:p>
          <w:p w:rsidR="00CE0745" w:rsidRPr="00A0266E" w:rsidRDefault="00CE0745" w:rsidP="009A71FD">
            <w:pPr>
              <w:spacing w:line="240" w:lineRule="exact"/>
              <w:jc w:val="center"/>
              <w:rPr>
                <w:lang w:val="uk-UA"/>
              </w:rPr>
            </w:pPr>
            <w:r w:rsidRPr="00A0266E">
              <w:rPr>
                <w:lang w:val="uk-UA"/>
              </w:rPr>
              <w:t>10-500 об/хв.</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10</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Дискретність встановлення швидкості обертання платформи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не гірше 1 об/хв.</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359"/>
        </w:trPr>
        <w:tc>
          <w:tcPr>
            <w:tcW w:w="703" w:type="dxa"/>
            <w:vAlign w:val="center"/>
          </w:tcPr>
          <w:p w:rsidR="00CE0745" w:rsidRPr="00A0266E" w:rsidRDefault="00CE0745" w:rsidP="009A71FD">
            <w:pPr>
              <w:spacing w:line="240" w:lineRule="exact"/>
              <w:jc w:val="center"/>
              <w:rPr>
                <w:lang w:val="uk-UA"/>
              </w:rPr>
            </w:pPr>
            <w:r w:rsidRPr="00A0266E">
              <w:rPr>
                <w:lang w:val="uk-UA"/>
              </w:rPr>
              <w:t>11</w:t>
            </w:r>
          </w:p>
        </w:tc>
        <w:tc>
          <w:tcPr>
            <w:tcW w:w="4968" w:type="dxa"/>
            <w:shd w:val="clear" w:color="auto" w:fill="auto"/>
            <w:vAlign w:val="center"/>
          </w:tcPr>
          <w:p w:rsidR="00CE0745" w:rsidRPr="00A0266E" w:rsidRDefault="00CE0745" w:rsidP="009A71FD">
            <w:pPr>
              <w:tabs>
                <w:tab w:val="left" w:pos="360"/>
              </w:tabs>
              <w:spacing w:line="240" w:lineRule="exact"/>
              <w:ind w:left="-11"/>
              <w:rPr>
                <w:lang w:val="uk-UA"/>
              </w:rPr>
            </w:pPr>
            <w:r w:rsidRPr="00A0266E">
              <w:rPr>
                <w:lang w:val="uk-UA"/>
              </w:rPr>
              <w:t xml:space="preserve">Амплітуда руху обертання платформи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не гірше 10 мм</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12</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Таймер повинен бути:</w:t>
            </w:r>
          </w:p>
          <w:p w:rsidR="00CE0745" w:rsidRPr="00A0266E" w:rsidRDefault="00CE0745" w:rsidP="009A71FD">
            <w:pPr>
              <w:tabs>
                <w:tab w:val="left" w:pos="360"/>
              </w:tabs>
              <w:spacing w:line="240" w:lineRule="exact"/>
              <w:rPr>
                <w:lang w:val="uk-UA"/>
              </w:rPr>
            </w:pPr>
            <w:r w:rsidRPr="00A0266E">
              <w:rPr>
                <w:lang w:val="uk-UA"/>
              </w:rPr>
              <w:t>- електронний</w:t>
            </w:r>
          </w:p>
          <w:p w:rsidR="00CE0745" w:rsidRPr="00A0266E" w:rsidRDefault="00CE0745" w:rsidP="009A71FD">
            <w:pPr>
              <w:tabs>
                <w:tab w:val="left" w:pos="360"/>
              </w:tabs>
              <w:spacing w:line="240" w:lineRule="exact"/>
              <w:rPr>
                <w:lang w:val="uk-UA"/>
              </w:rPr>
            </w:pPr>
            <w:r w:rsidRPr="00A0266E">
              <w:rPr>
                <w:lang w:val="uk-UA"/>
              </w:rPr>
              <w:t>- діапазон не гірше 1 хв. – 99:59 хв.</w:t>
            </w:r>
          </w:p>
          <w:p w:rsidR="00CE0745" w:rsidRPr="00A0266E" w:rsidRDefault="00CE0745" w:rsidP="009A71FD">
            <w:pPr>
              <w:tabs>
                <w:tab w:val="left" w:pos="360"/>
              </w:tabs>
              <w:spacing w:line="240" w:lineRule="exact"/>
              <w:rPr>
                <w:lang w:val="uk-UA"/>
              </w:rPr>
            </w:pPr>
            <w:r w:rsidRPr="00A0266E">
              <w:rPr>
                <w:lang w:val="uk-UA"/>
              </w:rPr>
              <w:t>- з можливістю встановлення паузи або безперервного режиму</w:t>
            </w:r>
          </w:p>
          <w:p w:rsidR="00CE0745" w:rsidRPr="00A0266E" w:rsidRDefault="00CE0745" w:rsidP="009A71FD">
            <w:pPr>
              <w:tabs>
                <w:tab w:val="left" w:pos="360"/>
              </w:tabs>
              <w:spacing w:line="240" w:lineRule="exact"/>
              <w:rPr>
                <w:lang w:val="uk-UA"/>
              </w:rPr>
            </w:pPr>
            <w:r w:rsidRPr="00A0266E">
              <w:rPr>
                <w:lang w:val="uk-UA"/>
              </w:rPr>
              <w:t>- дискретність встановлення часу таймера 1 хв.</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наявність</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355"/>
        </w:trPr>
        <w:tc>
          <w:tcPr>
            <w:tcW w:w="703" w:type="dxa"/>
            <w:vAlign w:val="center"/>
          </w:tcPr>
          <w:p w:rsidR="00CE0745" w:rsidRPr="00A0266E" w:rsidRDefault="00CE0745" w:rsidP="009A71FD">
            <w:pPr>
              <w:spacing w:line="240" w:lineRule="exact"/>
              <w:jc w:val="center"/>
              <w:rPr>
                <w:lang w:val="uk-UA"/>
              </w:rPr>
            </w:pPr>
            <w:r w:rsidRPr="00A0266E">
              <w:rPr>
                <w:lang w:val="uk-UA"/>
              </w:rPr>
              <w:t>13</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Вага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не більше 10 кг</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14</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Вимоги до живлення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110-220/50-60 В/Гц</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383"/>
        </w:trPr>
        <w:tc>
          <w:tcPr>
            <w:tcW w:w="703" w:type="dxa"/>
            <w:vAlign w:val="center"/>
          </w:tcPr>
          <w:p w:rsidR="00CE0745" w:rsidRPr="00A0266E" w:rsidRDefault="00CE0745" w:rsidP="009A71FD">
            <w:pPr>
              <w:spacing w:line="240" w:lineRule="exact"/>
              <w:jc w:val="center"/>
              <w:rPr>
                <w:lang w:val="uk-UA"/>
              </w:rPr>
            </w:pPr>
            <w:r w:rsidRPr="00A0266E">
              <w:rPr>
                <w:lang w:val="uk-UA"/>
              </w:rPr>
              <w:t>15</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 xml:space="preserve">Споживана потужність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не більше 24 Вт</w:t>
            </w:r>
          </w:p>
        </w:tc>
        <w:tc>
          <w:tcPr>
            <w:tcW w:w="2552" w:type="dxa"/>
          </w:tcPr>
          <w:p w:rsidR="00CE0745" w:rsidRPr="00A0266E" w:rsidRDefault="00CE0745" w:rsidP="009A71FD">
            <w:pPr>
              <w:spacing w:line="240" w:lineRule="exact"/>
              <w:jc w:val="center"/>
              <w:rPr>
                <w:lang w:val="uk-UA"/>
              </w:rPr>
            </w:pPr>
          </w:p>
        </w:tc>
      </w:tr>
      <w:tr w:rsidR="00CE0745" w:rsidRPr="00A0266E" w:rsidTr="009A71FD">
        <w:trPr>
          <w:trHeight w:val="70"/>
        </w:trPr>
        <w:tc>
          <w:tcPr>
            <w:tcW w:w="703" w:type="dxa"/>
            <w:vAlign w:val="center"/>
          </w:tcPr>
          <w:p w:rsidR="00CE0745" w:rsidRPr="00A0266E" w:rsidRDefault="00CE0745" w:rsidP="009A71FD">
            <w:pPr>
              <w:spacing w:line="240" w:lineRule="exact"/>
              <w:jc w:val="center"/>
              <w:rPr>
                <w:lang w:val="uk-UA"/>
              </w:rPr>
            </w:pPr>
            <w:r w:rsidRPr="00A0266E">
              <w:rPr>
                <w:lang w:val="uk-UA"/>
              </w:rPr>
              <w:t>16</w:t>
            </w:r>
          </w:p>
        </w:tc>
        <w:tc>
          <w:tcPr>
            <w:tcW w:w="4968" w:type="dxa"/>
            <w:shd w:val="clear" w:color="auto" w:fill="auto"/>
            <w:vAlign w:val="center"/>
          </w:tcPr>
          <w:p w:rsidR="00CE0745" w:rsidRPr="00A0266E" w:rsidRDefault="00CE0745" w:rsidP="009A71FD">
            <w:pPr>
              <w:tabs>
                <w:tab w:val="left" w:pos="360"/>
              </w:tabs>
              <w:spacing w:line="240" w:lineRule="exact"/>
              <w:rPr>
                <w:lang w:val="uk-UA"/>
              </w:rPr>
            </w:pPr>
            <w:r w:rsidRPr="00A0266E">
              <w:rPr>
                <w:lang w:val="uk-UA"/>
              </w:rPr>
              <w:t>Габарити (</w:t>
            </w:r>
            <w:proofErr w:type="spellStart"/>
            <w:r w:rsidRPr="00A0266E">
              <w:rPr>
                <w:lang w:val="uk-UA"/>
              </w:rPr>
              <w:t>ДхШхВ</w:t>
            </w:r>
            <w:proofErr w:type="spellEnd"/>
            <w:r w:rsidRPr="00A0266E">
              <w:rPr>
                <w:lang w:val="uk-UA"/>
              </w:rPr>
              <w:t xml:space="preserve">) </w:t>
            </w:r>
          </w:p>
        </w:tc>
        <w:tc>
          <w:tcPr>
            <w:tcW w:w="1984" w:type="dxa"/>
            <w:shd w:val="clear" w:color="auto" w:fill="auto"/>
            <w:vAlign w:val="center"/>
          </w:tcPr>
          <w:p w:rsidR="00CE0745" w:rsidRPr="00A0266E" w:rsidRDefault="00CE0745" w:rsidP="009A71FD">
            <w:pPr>
              <w:spacing w:line="240" w:lineRule="exact"/>
              <w:jc w:val="center"/>
              <w:rPr>
                <w:lang w:val="uk-UA"/>
              </w:rPr>
            </w:pPr>
            <w:r w:rsidRPr="00A0266E">
              <w:rPr>
                <w:lang w:val="uk-UA"/>
              </w:rPr>
              <w:t>не більше 420х370х100 мм</w:t>
            </w:r>
          </w:p>
        </w:tc>
        <w:tc>
          <w:tcPr>
            <w:tcW w:w="2552" w:type="dxa"/>
          </w:tcPr>
          <w:p w:rsidR="00CE0745" w:rsidRPr="00A0266E" w:rsidRDefault="00CE0745" w:rsidP="009A71FD">
            <w:pPr>
              <w:spacing w:line="240" w:lineRule="exact"/>
              <w:jc w:val="center"/>
              <w:rPr>
                <w:lang w:val="uk-UA"/>
              </w:rPr>
            </w:pPr>
          </w:p>
        </w:tc>
      </w:tr>
    </w:tbl>
    <w:p w:rsidR="007069DC" w:rsidRDefault="007069DC" w:rsidP="0047272A">
      <w:pPr>
        <w:autoSpaceDE w:val="0"/>
        <w:autoSpaceDN w:val="0"/>
        <w:adjustRightInd w:val="0"/>
        <w:spacing w:line="220" w:lineRule="exact"/>
        <w:ind w:firstLine="709"/>
        <w:jc w:val="both"/>
        <w:rPr>
          <w:lang w:val="uk-UA"/>
        </w:rPr>
      </w:pPr>
    </w:p>
    <w:p w:rsidR="00F36FCE" w:rsidRPr="006F79BF" w:rsidRDefault="00F36FCE"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Default="009608AA" w:rsidP="0047272A">
      <w:pPr>
        <w:autoSpaceDE w:val="0"/>
        <w:autoSpaceDN w:val="0"/>
        <w:adjustRightInd w:val="0"/>
        <w:spacing w:line="220" w:lineRule="exact"/>
        <w:ind w:firstLine="708"/>
        <w:jc w:val="both"/>
        <w:rPr>
          <w:rFonts w:eastAsiaTheme="minorHAnsi"/>
          <w:lang w:val="uk-UA" w:eastAsia="en-US"/>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FA61BF" w:rsidRPr="006F79BF" w:rsidRDefault="00FA61BF" w:rsidP="0047272A">
      <w:pPr>
        <w:autoSpaceDE w:val="0"/>
        <w:autoSpaceDN w:val="0"/>
        <w:adjustRightInd w:val="0"/>
        <w:spacing w:line="220" w:lineRule="exact"/>
        <w:ind w:firstLine="708"/>
        <w:jc w:val="both"/>
        <w:rPr>
          <w:lang w:val="uk-UA"/>
        </w:rPr>
      </w:pPr>
    </w:p>
    <w:p w:rsidR="0098395D" w:rsidRPr="00885D17" w:rsidRDefault="00C407F7" w:rsidP="0047272A">
      <w:pPr>
        <w:autoSpaceDE w:val="0"/>
        <w:autoSpaceDN w:val="0"/>
        <w:adjustRightInd w:val="0"/>
        <w:spacing w:line="220" w:lineRule="exact"/>
        <w:ind w:firstLine="708"/>
        <w:jc w:val="both"/>
        <w:rPr>
          <w:rFonts w:eastAsiaTheme="minorHAnsi"/>
          <w:bCs/>
          <w:lang w:val="uk-UA" w:eastAsia="en-US"/>
        </w:rPr>
      </w:pPr>
      <w:r w:rsidRPr="00885D17">
        <w:rPr>
          <w:lang w:val="uk-UA"/>
        </w:rPr>
        <w:t xml:space="preserve">6. </w:t>
      </w:r>
      <w:r w:rsidRPr="00885D17">
        <w:rPr>
          <w:rFonts w:eastAsiaTheme="minorHAnsi"/>
          <w:b/>
          <w:bCs/>
          <w:lang w:val="uk-UA" w:eastAsia="en-US"/>
        </w:rPr>
        <w:t>Очікувана вартість предмета закупівлі згідно оголошення</w:t>
      </w:r>
      <w:r w:rsidRPr="00885D17">
        <w:rPr>
          <w:rFonts w:eastAsiaTheme="minorHAnsi"/>
          <w:bCs/>
          <w:lang w:val="uk-UA" w:eastAsia="en-US"/>
        </w:rPr>
        <w:t xml:space="preserve">: </w:t>
      </w:r>
    </w:p>
    <w:p w:rsidR="00C407F7" w:rsidRPr="00686A95" w:rsidRDefault="00F01EE3" w:rsidP="00BF6B93">
      <w:pPr>
        <w:spacing w:line="240" w:lineRule="exact"/>
        <w:jc w:val="both"/>
        <w:rPr>
          <w:lang w:val="uk-UA"/>
        </w:rPr>
      </w:pPr>
      <w:r w:rsidRPr="00F01EE3">
        <w:rPr>
          <w:bCs/>
          <w:lang w:val="uk-UA"/>
        </w:rPr>
        <w:t>98 260</w:t>
      </w:r>
      <w:r w:rsidR="00686A95" w:rsidRPr="00F01EE3">
        <w:rPr>
          <w:bCs/>
          <w:lang w:val="uk-UA"/>
        </w:rPr>
        <w:t>,00</w:t>
      </w:r>
      <w:r w:rsidR="00686A95" w:rsidRPr="00F01EE3">
        <w:rPr>
          <w:lang w:val="uk-UA"/>
        </w:rPr>
        <w:t xml:space="preserve"> грн. (</w:t>
      </w:r>
      <w:r w:rsidRPr="00F01EE3">
        <w:rPr>
          <w:lang w:val="uk-UA"/>
        </w:rPr>
        <w:t>Дев’яносто вісім</w:t>
      </w:r>
      <w:r w:rsidR="00FA61BF" w:rsidRPr="00F01EE3">
        <w:rPr>
          <w:lang w:val="uk-UA"/>
        </w:rPr>
        <w:t xml:space="preserve"> </w:t>
      </w:r>
      <w:r w:rsidR="00686A95" w:rsidRPr="00F01EE3">
        <w:rPr>
          <w:lang w:val="uk-UA"/>
        </w:rPr>
        <w:t xml:space="preserve">тисяч </w:t>
      </w:r>
      <w:r w:rsidRPr="00F01EE3">
        <w:rPr>
          <w:lang w:val="uk-UA"/>
        </w:rPr>
        <w:t>двісті</w:t>
      </w:r>
      <w:r w:rsidR="00FA61BF" w:rsidRPr="00F01EE3">
        <w:rPr>
          <w:lang w:val="uk-UA"/>
        </w:rPr>
        <w:t xml:space="preserve"> шістдесят </w:t>
      </w:r>
      <w:r w:rsidR="00686A95" w:rsidRPr="00F01EE3">
        <w:rPr>
          <w:lang w:val="uk-UA"/>
        </w:rPr>
        <w:t>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15:restartNumberingAfterBreak="0">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15:restartNumberingAfterBreak="0">
    <w:nsid w:val="01A6654A"/>
    <w:multiLevelType w:val="multilevel"/>
    <w:tmpl w:val="099E4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1D529F"/>
    <w:multiLevelType w:val="multilevel"/>
    <w:tmpl w:val="A5E6FE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816D0A"/>
    <w:multiLevelType w:val="hybridMultilevel"/>
    <w:tmpl w:val="DA069EC2"/>
    <w:lvl w:ilvl="0" w:tplc="09F2C600">
      <w:start w:val="8"/>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A40DFE"/>
    <w:multiLevelType w:val="multilevel"/>
    <w:tmpl w:val="DA9E5F4A"/>
    <w:lvl w:ilvl="0">
      <w:start w:val="1"/>
      <w:numFmt w:val="decimal"/>
      <w:lvlText w:val="%1."/>
      <w:lvlJc w:val="left"/>
      <w:pPr>
        <w:ind w:left="720" w:hanging="360"/>
      </w:pPr>
      <w:rPr>
        <w:rFonts w:cs="Times New Roman"/>
        <w:b w:val="0"/>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385161"/>
    <w:multiLevelType w:val="multilevel"/>
    <w:tmpl w:val="867016C2"/>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3"/>
  </w:num>
  <w:num w:numId="4">
    <w:abstractNumId w:val="8"/>
  </w:num>
  <w:num w:numId="5">
    <w:abstractNumId w:val="12"/>
  </w:num>
  <w:num w:numId="6">
    <w:abstractNumId w:val="10"/>
  </w:num>
  <w:num w:numId="7">
    <w:abstractNumId w:val="4"/>
  </w:num>
  <w:num w:numId="8">
    <w:abstractNumId w:val="7"/>
  </w:num>
  <w:num w:numId="9">
    <w:abstractNumId w:val="11"/>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C6EE8"/>
    <w:rsid w:val="00033C40"/>
    <w:rsid w:val="00054F52"/>
    <w:rsid w:val="00070075"/>
    <w:rsid w:val="000852D4"/>
    <w:rsid w:val="000E5450"/>
    <w:rsid w:val="000F0C49"/>
    <w:rsid w:val="00117AA5"/>
    <w:rsid w:val="00133C43"/>
    <w:rsid w:val="0015076E"/>
    <w:rsid w:val="0015739F"/>
    <w:rsid w:val="001808BB"/>
    <w:rsid w:val="00197DA6"/>
    <w:rsid w:val="001D3CC8"/>
    <w:rsid w:val="002019FC"/>
    <w:rsid w:val="00212542"/>
    <w:rsid w:val="00273DB2"/>
    <w:rsid w:val="002808AF"/>
    <w:rsid w:val="002920B8"/>
    <w:rsid w:val="00296872"/>
    <w:rsid w:val="00326EC0"/>
    <w:rsid w:val="00332EBC"/>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40D9C"/>
    <w:rsid w:val="00565288"/>
    <w:rsid w:val="00595897"/>
    <w:rsid w:val="005B2AE5"/>
    <w:rsid w:val="005C0762"/>
    <w:rsid w:val="005E1A5F"/>
    <w:rsid w:val="005F540C"/>
    <w:rsid w:val="00611727"/>
    <w:rsid w:val="00621B78"/>
    <w:rsid w:val="0067364A"/>
    <w:rsid w:val="00686A95"/>
    <w:rsid w:val="00686AD5"/>
    <w:rsid w:val="00696F66"/>
    <w:rsid w:val="006F79BF"/>
    <w:rsid w:val="007069DC"/>
    <w:rsid w:val="00721EE6"/>
    <w:rsid w:val="007224AC"/>
    <w:rsid w:val="00727771"/>
    <w:rsid w:val="00744063"/>
    <w:rsid w:val="00752BB8"/>
    <w:rsid w:val="00754EBA"/>
    <w:rsid w:val="007A6358"/>
    <w:rsid w:val="007A6D40"/>
    <w:rsid w:val="007D5A49"/>
    <w:rsid w:val="007E0B3C"/>
    <w:rsid w:val="0080621E"/>
    <w:rsid w:val="008565F9"/>
    <w:rsid w:val="008840DE"/>
    <w:rsid w:val="00885D17"/>
    <w:rsid w:val="008A2C43"/>
    <w:rsid w:val="008C4FDD"/>
    <w:rsid w:val="008E252D"/>
    <w:rsid w:val="008E54AC"/>
    <w:rsid w:val="009014CA"/>
    <w:rsid w:val="00903CED"/>
    <w:rsid w:val="00930686"/>
    <w:rsid w:val="00937B59"/>
    <w:rsid w:val="00955073"/>
    <w:rsid w:val="0096071A"/>
    <w:rsid w:val="009608AA"/>
    <w:rsid w:val="0098395D"/>
    <w:rsid w:val="009D60D2"/>
    <w:rsid w:val="009F1C28"/>
    <w:rsid w:val="00A1473C"/>
    <w:rsid w:val="00A170C1"/>
    <w:rsid w:val="00A4046B"/>
    <w:rsid w:val="00A55CCE"/>
    <w:rsid w:val="00AB2B10"/>
    <w:rsid w:val="00AB3F0C"/>
    <w:rsid w:val="00AD2BEE"/>
    <w:rsid w:val="00AE2B40"/>
    <w:rsid w:val="00B20090"/>
    <w:rsid w:val="00B41D38"/>
    <w:rsid w:val="00B55706"/>
    <w:rsid w:val="00B748F8"/>
    <w:rsid w:val="00BC47CE"/>
    <w:rsid w:val="00BE1136"/>
    <w:rsid w:val="00BF6B93"/>
    <w:rsid w:val="00C306D6"/>
    <w:rsid w:val="00C3401C"/>
    <w:rsid w:val="00C34E86"/>
    <w:rsid w:val="00C407F7"/>
    <w:rsid w:val="00C6502B"/>
    <w:rsid w:val="00CB696E"/>
    <w:rsid w:val="00CE0745"/>
    <w:rsid w:val="00D05FE0"/>
    <w:rsid w:val="00D1224F"/>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1EE3"/>
    <w:rsid w:val="00F045AA"/>
    <w:rsid w:val="00F07A2E"/>
    <w:rsid w:val="00F118C8"/>
    <w:rsid w:val="00F36FCE"/>
    <w:rsid w:val="00F6672C"/>
    <w:rsid w:val="00F876FC"/>
    <w:rsid w:val="00F91533"/>
    <w:rsid w:val="00F93830"/>
    <w:rsid w:val="00FA61BF"/>
    <w:rsid w:val="00FB3017"/>
    <w:rsid w:val="00FB4A3E"/>
    <w:rsid w:val="00FE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C7F5E8-08CD-4284-B6D0-ED5EE4C2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у виносці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і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и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39"/>
    <w:rsid w:val="007A63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і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ий текст з від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и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Number Bullets"/>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и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rsid w:val="007A6358"/>
    <w:rPr>
      <w:rFonts w:ascii="Consolas" w:eastAsia="Times New Roman" w:hAnsi="Consolas" w:cs="Consolas"/>
      <w:sz w:val="20"/>
      <w:szCs w:val="20"/>
      <w:lang w:eastAsia="ru-RU"/>
    </w:rPr>
  </w:style>
  <w:style w:type="character" w:customStyle="1" w:styleId="afe">
    <w:name w:val="Текст ви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rsid w:val="007A6358"/>
    <w:rPr>
      <w:rFonts w:ascii="Times New Roman" w:eastAsia="Times New Roman" w:hAnsi="Times New Roman" w:cs="Times New Roman"/>
      <w:sz w:val="20"/>
      <w:szCs w:val="20"/>
      <w:lang w:eastAsia="ru-RU"/>
    </w:rPr>
  </w:style>
  <w:style w:type="character" w:customStyle="1" w:styleId="aff0">
    <w:name w:val="Текст примітки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ий текст з від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ий текст з від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rsid w:val="007A6358"/>
    <w:rPr>
      <w:rFonts w:ascii="Consolas" w:eastAsia="Times New Roman" w:hAnsi="Consolas" w:cs="Consolas"/>
      <w:sz w:val="21"/>
      <w:szCs w:val="21"/>
      <w:lang w:eastAsia="ru-RU"/>
    </w:rPr>
  </w:style>
  <w:style w:type="character" w:customStyle="1" w:styleId="aff5">
    <w:name w:val="Тема примітки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rsid w:val="007A6358"/>
    <w:rPr>
      <w:rFonts w:ascii="Times New Roman" w:eastAsia="Times New Roman" w:hAnsi="Times New Roman" w:cs="Times New Roman"/>
      <w:b/>
      <w:bCs/>
      <w:sz w:val="20"/>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і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інцевої ви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и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інтервалів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у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F0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FC463B-4BEF-482E-A008-3D70717E7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3021</Words>
  <Characters>1723</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Admin</cp:lastModifiedBy>
  <cp:revision>109</cp:revision>
  <cp:lastPrinted>2022-09-12T13:50:00Z</cp:lastPrinted>
  <dcterms:created xsi:type="dcterms:W3CDTF">2021-07-26T14:33:00Z</dcterms:created>
  <dcterms:modified xsi:type="dcterms:W3CDTF">2025-03-24T15:39:00Z</dcterms:modified>
</cp:coreProperties>
</file>