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EA2AF4" w:rsidRPr="006F79BF" w:rsidRDefault="00EA2AF4" w:rsidP="00EA2AF4">
      <w:pPr>
        <w:spacing w:line="220" w:lineRule="exact"/>
        <w:ind w:left="709" w:hanging="709"/>
        <w:jc w:val="both"/>
        <w:rPr>
          <w:lang w:val="uk-UA"/>
        </w:rPr>
      </w:pPr>
      <w:r w:rsidRPr="006F79BF">
        <w:rPr>
          <w:rFonts w:eastAsiaTheme="minorHAnsi"/>
          <w:bCs/>
          <w:lang w:val="uk-UA" w:eastAsia="en-US"/>
        </w:rPr>
        <w:tab/>
      </w:r>
      <w:r w:rsidRPr="006F79BF">
        <w:rPr>
          <w:bCs/>
          <w:lang w:val="uk-UA"/>
        </w:rPr>
        <w:t xml:space="preserve">ДУ </w:t>
      </w:r>
      <w:r w:rsidRPr="006F79BF">
        <w:rPr>
          <w:lang w:val="uk-UA"/>
        </w:rPr>
        <w:t xml:space="preserve">«Інститут педіатрії, акушерства і гінекології ім. акад. О.М. Лук’янової НАМН України» </w:t>
      </w:r>
      <w:r w:rsidRPr="006F79BF">
        <w:rPr>
          <w:rFonts w:eastAsiaTheme="minorHAnsi"/>
          <w:b/>
          <w:bCs/>
          <w:lang w:val="uk-UA" w:eastAsia="en-US"/>
        </w:rPr>
        <w:t>–</w:t>
      </w:r>
      <w:r w:rsidRPr="006F79BF">
        <w:rPr>
          <w:lang w:val="uk-UA"/>
        </w:rPr>
        <w:t xml:space="preserve"> заклад сфери охорони здоров’я </w:t>
      </w:r>
    </w:p>
    <w:p w:rsidR="00EA2AF4" w:rsidRPr="006F79BF" w:rsidRDefault="00EA2AF4" w:rsidP="00EA2AF4">
      <w:pPr>
        <w:spacing w:line="220" w:lineRule="exact"/>
        <w:ind w:firstLine="709"/>
        <w:jc w:val="both"/>
        <w:rPr>
          <w:lang w:val="uk-UA"/>
        </w:rPr>
      </w:pPr>
      <w:r w:rsidRPr="006F79BF">
        <w:rPr>
          <w:lang w:val="uk-UA"/>
        </w:rPr>
        <w:t xml:space="preserve">вул. П. Майбороди, б. 8, Шевченківський </w:t>
      </w:r>
      <w:proofErr w:type="spellStart"/>
      <w:r w:rsidRPr="006F79BF">
        <w:rPr>
          <w:lang w:val="uk-UA"/>
        </w:rPr>
        <w:t>рн</w:t>
      </w:r>
      <w:proofErr w:type="spellEnd"/>
      <w:r w:rsidRPr="006F79BF">
        <w:rPr>
          <w:lang w:val="uk-UA"/>
        </w:rPr>
        <w:t>,  м. Київ, 04050</w:t>
      </w:r>
    </w:p>
    <w:p w:rsidR="00EA2AF4" w:rsidRDefault="00EA2AF4" w:rsidP="00EA2AF4">
      <w:pPr>
        <w:spacing w:line="220" w:lineRule="exact"/>
        <w:ind w:firstLine="708"/>
        <w:jc w:val="both"/>
        <w:rPr>
          <w:lang w:val="uk-UA"/>
        </w:rPr>
      </w:pPr>
      <w:r w:rsidRPr="006F79BF">
        <w:rPr>
          <w:lang w:val="uk-UA"/>
        </w:rPr>
        <w:t>Код згідно з ЄДРПОУ замовника:  02012022</w:t>
      </w:r>
    </w:p>
    <w:p w:rsidR="00EA2AF4" w:rsidRPr="002424E5" w:rsidRDefault="00EA2AF4" w:rsidP="00EA2AF4">
      <w:pPr>
        <w:spacing w:line="220" w:lineRule="exact"/>
        <w:ind w:firstLine="708"/>
        <w:jc w:val="both"/>
        <w:rPr>
          <w:lang w:val="uk-UA"/>
        </w:rPr>
      </w:pPr>
      <w:r w:rsidRPr="009C33D1">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DC6EE8" w:rsidRPr="005835E1" w:rsidRDefault="005835E1" w:rsidP="0047272A">
      <w:pPr>
        <w:spacing w:line="220" w:lineRule="exact"/>
        <w:ind w:left="709" w:hanging="1"/>
        <w:jc w:val="both"/>
        <w:rPr>
          <w:color w:val="000000"/>
          <w:lang w:val="uk-UA" w:eastAsia="ar-SA"/>
        </w:rPr>
      </w:pPr>
      <w:proofErr w:type="spellStart"/>
      <w:r w:rsidRPr="005835E1">
        <w:rPr>
          <w:lang w:val="uk-UA"/>
        </w:rPr>
        <w:t>ДК</w:t>
      </w:r>
      <w:proofErr w:type="spellEnd"/>
      <w:r w:rsidRPr="005835E1">
        <w:rPr>
          <w:lang w:val="uk-UA"/>
        </w:rPr>
        <w:t xml:space="preserve"> 021:2015 – </w:t>
      </w:r>
      <w:r w:rsidRPr="005835E1">
        <w:rPr>
          <w:lang w:val="uk-UA" w:eastAsia="ar-SA"/>
        </w:rPr>
        <w:t>33190000-8  «</w:t>
      </w:r>
      <w:r w:rsidRPr="005835E1">
        <w:rPr>
          <w:shd w:val="clear" w:color="auto" w:fill="FFFFFF"/>
          <w:lang w:val="uk-UA"/>
        </w:rPr>
        <w:t>Медичне обладнання та вироби медичного призначення різні</w:t>
      </w:r>
      <w:r w:rsidRPr="005835E1">
        <w:rPr>
          <w:lang w:val="uk-UA" w:eastAsia="ar-SA"/>
        </w:rPr>
        <w:t>»</w:t>
      </w:r>
      <w:r w:rsidRPr="005835E1">
        <w:rPr>
          <w:snapToGrid w:val="0"/>
          <w:lang w:val="uk-UA"/>
        </w:rPr>
        <w:t xml:space="preserve"> (</w:t>
      </w:r>
      <w:r w:rsidRPr="005835E1">
        <w:rPr>
          <w:bCs/>
          <w:lang w:val="uk-UA"/>
        </w:rPr>
        <w:t xml:space="preserve">Фетальний монітор, НК 024:2023: 43958 – </w:t>
      </w:r>
      <w:r w:rsidRPr="005835E1">
        <w:rPr>
          <w:lang w:val="uk-UA"/>
        </w:rPr>
        <w:t>Фетальний кардіологічний монітор</w:t>
      </w:r>
      <w:r w:rsidRPr="005835E1">
        <w:rPr>
          <w:snapToGrid w:val="0"/>
          <w:lang w:val="uk-UA"/>
        </w:rPr>
        <w:t>)</w:t>
      </w:r>
    </w:p>
    <w:p w:rsidR="0015076E" w:rsidRPr="005835E1" w:rsidRDefault="0015076E" w:rsidP="0047272A">
      <w:pPr>
        <w:spacing w:line="220" w:lineRule="exact"/>
        <w:ind w:firstLine="708"/>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5835E1" w:rsidRPr="0044154F">
        <w:rPr>
          <w:shd w:val="clear" w:color="auto" w:fill="FFFFFF"/>
        </w:rPr>
        <w:t>UA-2024-07-24-011140-a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5835E1" w:rsidRDefault="005835E1" w:rsidP="005835E1">
      <w:pPr>
        <w:autoSpaceDE w:val="0"/>
        <w:autoSpaceDN w:val="0"/>
        <w:adjustRightInd w:val="0"/>
        <w:spacing w:line="220" w:lineRule="exact"/>
        <w:ind w:firstLine="709"/>
        <w:jc w:val="both"/>
        <w:rPr>
          <w:lang w:val="uk-UA"/>
        </w:rPr>
      </w:pPr>
      <w:r w:rsidRPr="00AA1CCE">
        <w:rPr>
          <w:lang w:val="uk-UA"/>
        </w:rPr>
        <w:t xml:space="preserve">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 </w:t>
      </w:r>
      <w:r w:rsidRPr="00AA1CCE">
        <w:rPr>
          <w:shd w:val="clear" w:color="auto" w:fill="FFFFFF"/>
          <w:lang w:val="uk-UA"/>
        </w:rPr>
        <w:t xml:space="preserve">особливість діяльності установи та </w:t>
      </w:r>
      <w:r w:rsidRPr="00AA1CCE">
        <w:rPr>
          <w:lang w:val="uk-UA"/>
        </w:rPr>
        <w:t xml:space="preserve">рівень високоспеціалізованої допомоги населенню України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5133"/>
        <w:gridCol w:w="2409"/>
        <w:gridCol w:w="2268"/>
      </w:tblGrid>
      <w:tr w:rsidR="005835E1" w:rsidRPr="00C17511" w:rsidTr="00D63151">
        <w:trPr>
          <w:trHeight w:val="522"/>
        </w:trPr>
        <w:tc>
          <w:tcPr>
            <w:tcW w:w="538" w:type="dxa"/>
            <w:tcBorders>
              <w:bottom w:val="single" w:sz="4" w:space="0" w:color="auto"/>
            </w:tcBorders>
            <w:vAlign w:val="center"/>
          </w:tcPr>
          <w:p w:rsidR="005835E1" w:rsidRPr="00C17511" w:rsidRDefault="005835E1" w:rsidP="00D63151">
            <w:pPr>
              <w:pBdr>
                <w:top w:val="nil"/>
                <w:left w:val="nil"/>
                <w:bottom w:val="nil"/>
                <w:right w:val="nil"/>
                <w:between w:val="nil"/>
              </w:pBdr>
              <w:jc w:val="center"/>
              <w:rPr>
                <w:b/>
                <w:color w:val="000000"/>
                <w:lang w:val="uk-UA"/>
              </w:rPr>
            </w:pPr>
            <w:r w:rsidRPr="00C17511">
              <w:rPr>
                <w:b/>
                <w:sz w:val="22"/>
                <w:szCs w:val="22"/>
                <w:lang w:val="uk-UA"/>
              </w:rPr>
              <w:t>№ з/п</w:t>
            </w:r>
          </w:p>
        </w:tc>
        <w:tc>
          <w:tcPr>
            <w:tcW w:w="5133" w:type="dxa"/>
            <w:tcBorders>
              <w:bottom w:val="single" w:sz="4" w:space="0" w:color="auto"/>
            </w:tcBorders>
            <w:vAlign w:val="center"/>
          </w:tcPr>
          <w:p w:rsidR="005835E1" w:rsidRPr="00C17511" w:rsidRDefault="005835E1" w:rsidP="00D63151">
            <w:pPr>
              <w:jc w:val="center"/>
              <w:rPr>
                <w:rFonts w:eastAsia="Calibri"/>
                <w:b/>
                <w:kern w:val="1"/>
                <w:lang w:val="uk-UA"/>
              </w:rPr>
            </w:pPr>
            <w:r w:rsidRPr="00C17511">
              <w:rPr>
                <w:rFonts w:eastAsia="Calibri"/>
                <w:b/>
                <w:kern w:val="1"/>
                <w:sz w:val="22"/>
                <w:szCs w:val="22"/>
                <w:lang w:val="uk-UA"/>
              </w:rPr>
              <w:t>Медико-технічні характеристики</w:t>
            </w:r>
          </w:p>
        </w:tc>
        <w:tc>
          <w:tcPr>
            <w:tcW w:w="2409" w:type="dxa"/>
            <w:tcBorders>
              <w:bottom w:val="single" w:sz="4" w:space="0" w:color="auto"/>
            </w:tcBorders>
            <w:vAlign w:val="center"/>
          </w:tcPr>
          <w:p w:rsidR="005835E1" w:rsidRPr="00C17511" w:rsidRDefault="005835E1" w:rsidP="00D63151">
            <w:pPr>
              <w:jc w:val="center"/>
              <w:rPr>
                <w:rFonts w:eastAsia="Calibri"/>
                <w:b/>
                <w:kern w:val="1"/>
                <w:lang w:val="uk-UA"/>
              </w:rPr>
            </w:pPr>
            <w:r w:rsidRPr="00C17511">
              <w:rPr>
                <w:rFonts w:eastAsia="Calibri"/>
                <w:b/>
                <w:kern w:val="1"/>
                <w:sz w:val="22"/>
                <w:szCs w:val="22"/>
                <w:lang w:val="uk-UA"/>
              </w:rPr>
              <w:t>Наявність функції або величина, яка вимагається</w:t>
            </w:r>
          </w:p>
        </w:tc>
        <w:tc>
          <w:tcPr>
            <w:tcW w:w="2268" w:type="dxa"/>
            <w:tcBorders>
              <w:bottom w:val="single" w:sz="4" w:space="0" w:color="auto"/>
            </w:tcBorders>
            <w:vAlign w:val="center"/>
          </w:tcPr>
          <w:p w:rsidR="005835E1" w:rsidRPr="00C17511" w:rsidRDefault="005835E1" w:rsidP="00D63151">
            <w:pPr>
              <w:widowControl w:val="0"/>
              <w:suppressAutoHyphens/>
              <w:spacing w:line="240" w:lineRule="exact"/>
              <w:jc w:val="center"/>
              <w:rPr>
                <w:rFonts w:eastAsia="Calibri"/>
                <w:b/>
                <w:lang w:val="uk-UA"/>
              </w:rPr>
            </w:pPr>
            <w:r w:rsidRPr="00C17511">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5835E1" w:rsidRPr="00C17511" w:rsidTr="00D63151">
        <w:trPr>
          <w:trHeight w:val="477"/>
        </w:trPr>
        <w:tc>
          <w:tcPr>
            <w:tcW w:w="10348" w:type="dxa"/>
            <w:gridSpan w:val="4"/>
          </w:tcPr>
          <w:p w:rsidR="005835E1" w:rsidRPr="00C17511" w:rsidRDefault="005835E1" w:rsidP="00D63151">
            <w:pPr>
              <w:ind w:left="360"/>
              <w:jc w:val="both"/>
              <w:rPr>
                <w:b/>
                <w:lang w:val="uk-UA"/>
              </w:rPr>
            </w:pPr>
            <w:r w:rsidRPr="00C17511">
              <w:rPr>
                <w:b/>
                <w:lang w:val="uk-UA"/>
              </w:rPr>
              <w:t>1. Вимоги по функціональним та діагностичним  характеристикам.</w:t>
            </w:r>
          </w:p>
        </w:tc>
      </w:tr>
      <w:tr w:rsidR="005835E1" w:rsidRPr="00C17511" w:rsidTr="00D63151">
        <w:trPr>
          <w:trHeight w:val="680"/>
        </w:trPr>
        <w:tc>
          <w:tcPr>
            <w:tcW w:w="538" w:type="dxa"/>
          </w:tcPr>
          <w:p w:rsidR="005835E1" w:rsidRPr="00C17511" w:rsidRDefault="005835E1" w:rsidP="00D63151">
            <w:pPr>
              <w:jc w:val="both"/>
              <w:rPr>
                <w:lang w:val="uk-UA"/>
              </w:rPr>
            </w:pPr>
            <w:r w:rsidRPr="00C17511">
              <w:rPr>
                <w:lang w:val="uk-UA"/>
              </w:rPr>
              <w:t>1.1</w:t>
            </w:r>
          </w:p>
        </w:tc>
        <w:tc>
          <w:tcPr>
            <w:tcW w:w="5133" w:type="dxa"/>
          </w:tcPr>
          <w:p w:rsidR="005835E1" w:rsidRPr="00C17511" w:rsidRDefault="005835E1" w:rsidP="00D63151">
            <w:pPr>
              <w:rPr>
                <w:lang w:val="uk-UA"/>
              </w:rPr>
            </w:pPr>
            <w:r w:rsidRPr="00C17511">
              <w:rPr>
                <w:lang w:val="uk-UA"/>
              </w:rPr>
              <w:t xml:space="preserve">Одночасна реєстрація частоти серцевих скорочень (ЧСС), рухів плоду та скорочувальної діяльності матки впродовж вагітності </w:t>
            </w:r>
          </w:p>
        </w:tc>
        <w:tc>
          <w:tcPr>
            <w:tcW w:w="2409" w:type="dxa"/>
          </w:tcPr>
          <w:p w:rsidR="005835E1" w:rsidRPr="00C17511" w:rsidRDefault="005835E1" w:rsidP="00D63151">
            <w:pPr>
              <w:jc w:val="center"/>
              <w:rPr>
                <w:lang w:val="uk-UA"/>
              </w:rPr>
            </w:pPr>
            <w:r w:rsidRPr="00C17511">
              <w:rPr>
                <w:lang w:val="uk-UA"/>
              </w:rPr>
              <w:t>Наявність</w:t>
            </w:r>
          </w:p>
          <w:p w:rsidR="005835E1" w:rsidRPr="00C17511" w:rsidRDefault="005835E1" w:rsidP="00D63151">
            <w:pPr>
              <w:jc w:val="center"/>
              <w:rPr>
                <w:lang w:val="uk-UA"/>
              </w:rPr>
            </w:pPr>
          </w:p>
        </w:tc>
        <w:tc>
          <w:tcPr>
            <w:tcW w:w="2268" w:type="dxa"/>
          </w:tcPr>
          <w:p w:rsidR="005835E1" w:rsidRPr="00C17511" w:rsidRDefault="005835E1" w:rsidP="00D63151">
            <w:pPr>
              <w:jc w:val="center"/>
              <w:rPr>
                <w:lang w:val="uk-UA"/>
              </w:rPr>
            </w:pPr>
          </w:p>
        </w:tc>
      </w:tr>
      <w:tr w:rsidR="005835E1" w:rsidRPr="00C17511" w:rsidTr="00D63151">
        <w:tc>
          <w:tcPr>
            <w:tcW w:w="538" w:type="dxa"/>
          </w:tcPr>
          <w:p w:rsidR="005835E1" w:rsidRPr="00C17511" w:rsidRDefault="005835E1" w:rsidP="00D63151">
            <w:pPr>
              <w:jc w:val="both"/>
              <w:rPr>
                <w:lang w:val="uk-UA"/>
              </w:rPr>
            </w:pPr>
            <w:r w:rsidRPr="00C17511">
              <w:rPr>
                <w:lang w:val="uk-UA"/>
              </w:rPr>
              <w:t>1.2</w:t>
            </w:r>
          </w:p>
        </w:tc>
        <w:tc>
          <w:tcPr>
            <w:tcW w:w="5133" w:type="dxa"/>
          </w:tcPr>
          <w:p w:rsidR="005835E1" w:rsidRPr="00C17511" w:rsidRDefault="005835E1" w:rsidP="00D63151">
            <w:pPr>
              <w:rPr>
                <w:lang w:val="uk-UA"/>
              </w:rPr>
            </w:pPr>
            <w:r w:rsidRPr="00C17511">
              <w:rPr>
                <w:lang w:val="uk-UA"/>
              </w:rPr>
              <w:t xml:space="preserve">Реєстрація профілю рухливої активності  плоду в ручному та автоматичному   режимі </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jc w:val="both"/>
              <w:rPr>
                <w:lang w:val="uk-UA"/>
              </w:rPr>
            </w:pPr>
            <w:r w:rsidRPr="00C17511">
              <w:rPr>
                <w:lang w:val="uk-UA"/>
              </w:rPr>
              <w:t>1.3</w:t>
            </w:r>
          </w:p>
        </w:tc>
        <w:tc>
          <w:tcPr>
            <w:tcW w:w="5133" w:type="dxa"/>
          </w:tcPr>
          <w:p w:rsidR="005835E1" w:rsidRPr="00C17511" w:rsidRDefault="005835E1" w:rsidP="00D63151">
            <w:pPr>
              <w:rPr>
                <w:lang w:val="uk-UA"/>
              </w:rPr>
            </w:pPr>
            <w:r w:rsidRPr="00C17511">
              <w:rPr>
                <w:lang w:val="uk-UA"/>
              </w:rPr>
              <w:t xml:space="preserve">Звукові та візуальні сигнали  з можливістю  корекції порогів </w:t>
            </w:r>
            <w:proofErr w:type="spellStart"/>
            <w:r w:rsidRPr="00C17511">
              <w:rPr>
                <w:lang w:val="uk-UA"/>
              </w:rPr>
              <w:t>тревог</w:t>
            </w:r>
            <w:proofErr w:type="spellEnd"/>
            <w:r w:rsidRPr="00C17511">
              <w:rPr>
                <w:lang w:val="uk-UA"/>
              </w:rPr>
              <w:t xml:space="preserve">: відсутності сигналу з датчиків,  </w:t>
            </w:r>
            <w:proofErr w:type="spellStart"/>
            <w:r w:rsidRPr="00C17511">
              <w:rPr>
                <w:lang w:val="uk-UA"/>
              </w:rPr>
              <w:t>тахи-</w:t>
            </w:r>
            <w:proofErr w:type="spellEnd"/>
            <w:r w:rsidRPr="00C17511">
              <w:rPr>
                <w:lang w:val="uk-UA"/>
              </w:rPr>
              <w:t xml:space="preserve"> або брадикардії, відсутності рухів плоду</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jc w:val="both"/>
              <w:rPr>
                <w:lang w:val="uk-UA"/>
              </w:rPr>
            </w:pPr>
            <w:r w:rsidRPr="00C17511">
              <w:rPr>
                <w:lang w:val="uk-UA"/>
              </w:rPr>
              <w:t>1.4</w:t>
            </w:r>
          </w:p>
        </w:tc>
        <w:tc>
          <w:tcPr>
            <w:tcW w:w="5133" w:type="dxa"/>
          </w:tcPr>
          <w:p w:rsidR="005835E1" w:rsidRPr="00C17511" w:rsidRDefault="005835E1" w:rsidP="00D63151">
            <w:pPr>
              <w:rPr>
                <w:lang w:val="uk-UA"/>
              </w:rPr>
            </w:pPr>
            <w:r w:rsidRPr="00C17511">
              <w:rPr>
                <w:lang w:val="uk-UA"/>
              </w:rPr>
              <w:t xml:space="preserve">Контроль ультразвукового сигналу для оптимального накладання датчика </w:t>
            </w:r>
          </w:p>
        </w:tc>
        <w:tc>
          <w:tcPr>
            <w:tcW w:w="2409" w:type="dxa"/>
          </w:tcPr>
          <w:p w:rsidR="005835E1" w:rsidRPr="00C17511" w:rsidRDefault="005835E1" w:rsidP="00D63151">
            <w:pPr>
              <w:jc w:val="center"/>
              <w:rPr>
                <w:lang w:val="uk-UA"/>
              </w:rPr>
            </w:pPr>
            <w:proofErr w:type="spellStart"/>
            <w:r w:rsidRPr="00C17511">
              <w:rPr>
                <w:lang w:val="uk-UA"/>
              </w:rPr>
              <w:t>Аудіо-</w:t>
            </w:r>
            <w:proofErr w:type="spellEnd"/>
            <w:r w:rsidRPr="00C17511">
              <w:rPr>
                <w:lang w:val="uk-UA"/>
              </w:rPr>
              <w:t xml:space="preserve"> та візуальний</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jc w:val="both"/>
              <w:rPr>
                <w:lang w:val="uk-UA"/>
              </w:rPr>
            </w:pPr>
            <w:r w:rsidRPr="00C17511">
              <w:rPr>
                <w:lang w:val="uk-UA"/>
              </w:rPr>
              <w:t>1.5</w:t>
            </w:r>
          </w:p>
        </w:tc>
        <w:tc>
          <w:tcPr>
            <w:tcW w:w="5133" w:type="dxa"/>
          </w:tcPr>
          <w:p w:rsidR="005835E1" w:rsidRPr="00C17511" w:rsidRDefault="005835E1" w:rsidP="00D63151">
            <w:pPr>
              <w:rPr>
                <w:lang w:val="uk-UA"/>
              </w:rPr>
            </w:pPr>
            <w:r w:rsidRPr="00C17511">
              <w:rPr>
                <w:lang w:val="uk-UA"/>
              </w:rPr>
              <w:t>Введення даних про пацієнтку та клінічної анотації</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jc w:val="both"/>
              <w:rPr>
                <w:lang w:val="uk-UA"/>
              </w:rPr>
            </w:pPr>
            <w:r w:rsidRPr="00C17511">
              <w:rPr>
                <w:lang w:val="uk-UA"/>
              </w:rPr>
              <w:t>1.6</w:t>
            </w:r>
          </w:p>
        </w:tc>
        <w:tc>
          <w:tcPr>
            <w:tcW w:w="5133" w:type="dxa"/>
          </w:tcPr>
          <w:p w:rsidR="005835E1" w:rsidRPr="00C17511" w:rsidRDefault="005835E1" w:rsidP="00D63151">
            <w:pPr>
              <w:rPr>
                <w:lang w:val="uk-UA"/>
              </w:rPr>
            </w:pPr>
            <w:r w:rsidRPr="00C17511">
              <w:rPr>
                <w:lang w:val="uk-UA"/>
              </w:rPr>
              <w:t>Архівація даних КТГ в пам’яті фетального монітора, не менше  100 годин безперервного запису</w:t>
            </w:r>
          </w:p>
        </w:tc>
        <w:tc>
          <w:tcPr>
            <w:tcW w:w="2409" w:type="dxa"/>
          </w:tcPr>
          <w:p w:rsidR="005835E1" w:rsidRPr="00C17511" w:rsidRDefault="005835E1" w:rsidP="00D63151">
            <w:pPr>
              <w:jc w:val="center"/>
              <w:rPr>
                <w:lang w:val="uk-UA"/>
              </w:rPr>
            </w:pPr>
            <w:r w:rsidRPr="00C17511">
              <w:rPr>
                <w:lang w:val="uk-UA"/>
              </w:rPr>
              <w:t>Наявність</w:t>
            </w:r>
          </w:p>
          <w:p w:rsidR="005835E1" w:rsidRPr="00C17511" w:rsidRDefault="005835E1" w:rsidP="00D63151">
            <w:pPr>
              <w:jc w:val="center"/>
              <w:rPr>
                <w:lang w:val="uk-UA"/>
              </w:rPr>
            </w:pP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right="-108"/>
              <w:jc w:val="both"/>
              <w:rPr>
                <w:lang w:val="uk-UA"/>
              </w:rPr>
            </w:pPr>
            <w:r w:rsidRPr="00C17511">
              <w:rPr>
                <w:lang w:val="uk-UA"/>
              </w:rPr>
              <w:lastRenderedPageBreak/>
              <w:t>1.7</w:t>
            </w:r>
          </w:p>
          <w:p w:rsidR="005835E1" w:rsidRPr="00C17511" w:rsidRDefault="005835E1" w:rsidP="00D63151">
            <w:pPr>
              <w:ind w:right="-108"/>
              <w:jc w:val="both"/>
              <w:rPr>
                <w:lang w:val="uk-UA"/>
              </w:rPr>
            </w:pPr>
          </w:p>
        </w:tc>
        <w:tc>
          <w:tcPr>
            <w:tcW w:w="5133" w:type="dxa"/>
          </w:tcPr>
          <w:p w:rsidR="005835E1" w:rsidRPr="00C17511" w:rsidRDefault="005835E1" w:rsidP="00D63151">
            <w:pPr>
              <w:rPr>
                <w:lang w:val="uk-UA"/>
              </w:rPr>
            </w:pPr>
            <w:r w:rsidRPr="00C17511">
              <w:rPr>
                <w:b/>
                <w:lang w:val="uk-UA"/>
              </w:rPr>
              <w:t>Автоматичний розрахунок та аналіз параметрів КТГ з одночасною оцінкою функціонального стану  плода, починаючи з 24 тижня вагітності</w:t>
            </w:r>
            <w:r w:rsidRPr="00C17511">
              <w:rPr>
                <w:lang w:val="uk-UA"/>
              </w:rPr>
              <w:t>:</w:t>
            </w:r>
          </w:p>
        </w:tc>
        <w:tc>
          <w:tcPr>
            <w:tcW w:w="2409" w:type="dxa"/>
          </w:tcPr>
          <w:p w:rsidR="005835E1" w:rsidRPr="00C17511" w:rsidRDefault="005835E1" w:rsidP="00D63151">
            <w:pPr>
              <w:jc w:val="center"/>
              <w:rPr>
                <w:lang w:val="uk-UA"/>
              </w:rPr>
            </w:pPr>
            <w:r w:rsidRPr="00C17511">
              <w:rPr>
                <w:lang w:val="uk-UA"/>
              </w:rPr>
              <w:t>Наявність</w:t>
            </w:r>
          </w:p>
          <w:p w:rsidR="005835E1" w:rsidRPr="00C17511" w:rsidRDefault="005835E1" w:rsidP="00D63151">
            <w:pPr>
              <w:jc w:val="center"/>
              <w:rPr>
                <w:lang w:val="uk-UA"/>
              </w:rPr>
            </w:pP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jc w:val="both"/>
              <w:rPr>
                <w:lang w:val="uk-UA"/>
              </w:rPr>
            </w:pPr>
            <w:r w:rsidRPr="00C17511">
              <w:rPr>
                <w:lang w:val="uk-UA"/>
              </w:rPr>
              <w:t>1.7.1</w:t>
            </w:r>
          </w:p>
        </w:tc>
        <w:tc>
          <w:tcPr>
            <w:tcW w:w="5133" w:type="dxa"/>
          </w:tcPr>
          <w:p w:rsidR="005835E1" w:rsidRPr="00C17511" w:rsidRDefault="005835E1" w:rsidP="00D63151">
            <w:pPr>
              <w:rPr>
                <w:lang w:val="uk-UA"/>
              </w:rPr>
            </w:pPr>
            <w:r w:rsidRPr="00C17511">
              <w:rPr>
                <w:lang w:val="uk-UA"/>
              </w:rPr>
              <w:t>- базальної частоти;</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jc w:val="both"/>
              <w:rPr>
                <w:lang w:val="uk-UA"/>
              </w:rPr>
            </w:pPr>
            <w:r w:rsidRPr="00C17511">
              <w:rPr>
                <w:lang w:val="uk-UA"/>
              </w:rPr>
              <w:t>1.7.2</w:t>
            </w:r>
          </w:p>
        </w:tc>
        <w:tc>
          <w:tcPr>
            <w:tcW w:w="5133" w:type="dxa"/>
          </w:tcPr>
          <w:p w:rsidR="005835E1" w:rsidRPr="00C17511" w:rsidRDefault="005835E1" w:rsidP="00D63151">
            <w:pPr>
              <w:rPr>
                <w:lang w:val="uk-UA"/>
              </w:rPr>
            </w:pPr>
            <w:r w:rsidRPr="00C17511">
              <w:rPr>
                <w:lang w:val="uk-UA"/>
              </w:rPr>
              <w:t xml:space="preserve">- </w:t>
            </w:r>
            <w:proofErr w:type="spellStart"/>
            <w:r w:rsidRPr="00C17511">
              <w:rPr>
                <w:lang w:val="uk-UA"/>
              </w:rPr>
              <w:t>акцелерацій</w:t>
            </w:r>
            <w:proofErr w:type="spellEnd"/>
            <w:r w:rsidRPr="00C17511">
              <w:rPr>
                <w:lang w:val="uk-UA"/>
              </w:rPr>
              <w:t xml:space="preserve"> </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1.7.3</w:t>
            </w:r>
          </w:p>
        </w:tc>
        <w:tc>
          <w:tcPr>
            <w:tcW w:w="5133" w:type="dxa"/>
          </w:tcPr>
          <w:p w:rsidR="005835E1" w:rsidRPr="00C17511" w:rsidRDefault="005835E1" w:rsidP="00D63151">
            <w:pPr>
              <w:rPr>
                <w:lang w:val="uk-UA"/>
              </w:rPr>
            </w:pPr>
            <w:r w:rsidRPr="00C17511">
              <w:rPr>
                <w:lang w:val="uk-UA"/>
              </w:rPr>
              <w:t xml:space="preserve">- </w:t>
            </w:r>
            <w:proofErr w:type="spellStart"/>
            <w:r w:rsidRPr="00C17511">
              <w:rPr>
                <w:lang w:val="uk-UA"/>
              </w:rPr>
              <w:t>децелерацій</w:t>
            </w:r>
            <w:proofErr w:type="spellEnd"/>
            <w:r w:rsidRPr="00C17511">
              <w:rPr>
                <w:lang w:val="uk-UA"/>
              </w:rPr>
              <w:t xml:space="preserve"> </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1.7.4</w:t>
            </w:r>
          </w:p>
        </w:tc>
        <w:tc>
          <w:tcPr>
            <w:tcW w:w="5133" w:type="dxa"/>
          </w:tcPr>
          <w:p w:rsidR="005835E1" w:rsidRPr="00C17511" w:rsidRDefault="005835E1" w:rsidP="00D63151">
            <w:pPr>
              <w:rPr>
                <w:lang w:val="uk-UA"/>
              </w:rPr>
            </w:pPr>
            <w:r w:rsidRPr="00C17511">
              <w:rPr>
                <w:lang w:val="uk-UA"/>
              </w:rPr>
              <w:t>- високих епізодів варіабельності (хв.);</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1.7.5</w:t>
            </w:r>
          </w:p>
        </w:tc>
        <w:tc>
          <w:tcPr>
            <w:tcW w:w="5133" w:type="dxa"/>
          </w:tcPr>
          <w:p w:rsidR="005835E1" w:rsidRPr="00C17511" w:rsidRDefault="005835E1" w:rsidP="00D63151">
            <w:pPr>
              <w:rPr>
                <w:lang w:val="uk-UA"/>
              </w:rPr>
            </w:pPr>
            <w:r w:rsidRPr="00C17511">
              <w:rPr>
                <w:lang w:val="uk-UA"/>
              </w:rPr>
              <w:t>- низьких епізодів варіабельності (хв.);</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1.7.6</w:t>
            </w:r>
          </w:p>
        </w:tc>
        <w:tc>
          <w:tcPr>
            <w:tcW w:w="5133" w:type="dxa"/>
          </w:tcPr>
          <w:p w:rsidR="005835E1" w:rsidRPr="00C17511" w:rsidRDefault="005835E1" w:rsidP="00D63151">
            <w:pPr>
              <w:rPr>
                <w:lang w:val="uk-UA"/>
              </w:rPr>
            </w:pPr>
            <w:r w:rsidRPr="00C17511">
              <w:rPr>
                <w:lang w:val="uk-UA"/>
              </w:rPr>
              <w:t xml:space="preserve">- </w:t>
            </w:r>
            <w:r w:rsidRPr="00C17511">
              <w:rPr>
                <w:b/>
                <w:lang w:val="uk-UA"/>
              </w:rPr>
              <w:t>варіабельності коротких відрізків (STV);</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1.7.7</w:t>
            </w:r>
          </w:p>
        </w:tc>
        <w:tc>
          <w:tcPr>
            <w:tcW w:w="5133" w:type="dxa"/>
          </w:tcPr>
          <w:p w:rsidR="005835E1" w:rsidRPr="00C17511" w:rsidRDefault="005835E1" w:rsidP="00D63151">
            <w:pPr>
              <w:rPr>
                <w:lang w:val="uk-UA"/>
              </w:rPr>
            </w:pPr>
            <w:r w:rsidRPr="00C17511">
              <w:rPr>
                <w:lang w:val="uk-UA"/>
              </w:rPr>
              <w:t>- кількості рухів плоду за 1 годину;</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1.7.8</w:t>
            </w:r>
          </w:p>
        </w:tc>
        <w:tc>
          <w:tcPr>
            <w:tcW w:w="5133" w:type="dxa"/>
          </w:tcPr>
          <w:p w:rsidR="005835E1" w:rsidRPr="00C17511" w:rsidRDefault="005835E1" w:rsidP="00D63151">
            <w:pPr>
              <w:rPr>
                <w:lang w:val="uk-UA"/>
              </w:rPr>
            </w:pPr>
            <w:r w:rsidRPr="00C17511">
              <w:rPr>
                <w:lang w:val="uk-UA"/>
              </w:rPr>
              <w:t>- загублення сигналу з УЗ датчика</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9"/>
        </w:trPr>
        <w:tc>
          <w:tcPr>
            <w:tcW w:w="538" w:type="dxa"/>
          </w:tcPr>
          <w:p w:rsidR="005835E1" w:rsidRPr="00C17511" w:rsidRDefault="005835E1" w:rsidP="00D63151">
            <w:pPr>
              <w:ind w:left="-108" w:right="-108"/>
              <w:rPr>
                <w:lang w:val="uk-UA"/>
              </w:rPr>
            </w:pPr>
            <w:r w:rsidRPr="00C17511">
              <w:rPr>
                <w:lang w:val="uk-UA"/>
              </w:rPr>
              <w:t>1.8</w:t>
            </w:r>
          </w:p>
        </w:tc>
        <w:tc>
          <w:tcPr>
            <w:tcW w:w="5133" w:type="dxa"/>
          </w:tcPr>
          <w:p w:rsidR="005835E1" w:rsidRPr="00C17511" w:rsidRDefault="005835E1" w:rsidP="00D63151">
            <w:pPr>
              <w:rPr>
                <w:b/>
                <w:lang w:val="uk-UA"/>
              </w:rPr>
            </w:pPr>
            <w:r w:rsidRPr="00C17511">
              <w:rPr>
                <w:b/>
                <w:lang w:val="uk-UA"/>
              </w:rPr>
              <w:t>Відображення  результатів автоматичного аналізу  КТГ з 10 хв. моніторингу  з кратністю повторювання 2 хв.</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ind w:left="-108" w:right="-108"/>
              <w:jc w:val="both"/>
              <w:rPr>
                <w:lang w:val="uk-UA"/>
              </w:rPr>
            </w:pPr>
            <w:r w:rsidRPr="00C17511">
              <w:rPr>
                <w:lang w:val="uk-UA"/>
              </w:rPr>
              <w:t>1.9</w:t>
            </w:r>
          </w:p>
        </w:tc>
        <w:tc>
          <w:tcPr>
            <w:tcW w:w="5133" w:type="dxa"/>
          </w:tcPr>
          <w:p w:rsidR="005835E1" w:rsidRPr="00C17511" w:rsidRDefault="005835E1" w:rsidP="00D63151">
            <w:pPr>
              <w:rPr>
                <w:lang w:val="uk-UA"/>
              </w:rPr>
            </w:pPr>
            <w:r w:rsidRPr="00C17511">
              <w:rPr>
                <w:lang w:val="uk-UA"/>
              </w:rPr>
              <w:t>Алгоритм корекції оцінки функціонального стану плоду за даними  КТГ з урахуванням терміну вагітності</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676"/>
        </w:trPr>
        <w:tc>
          <w:tcPr>
            <w:tcW w:w="538" w:type="dxa"/>
          </w:tcPr>
          <w:p w:rsidR="005835E1" w:rsidRPr="00C17511" w:rsidRDefault="005835E1" w:rsidP="00D63151">
            <w:pPr>
              <w:ind w:left="-108" w:right="-108"/>
              <w:jc w:val="both"/>
              <w:rPr>
                <w:lang w:val="uk-UA"/>
              </w:rPr>
            </w:pPr>
            <w:r w:rsidRPr="00C17511">
              <w:rPr>
                <w:lang w:val="uk-UA"/>
              </w:rPr>
              <w:t>1.10</w:t>
            </w:r>
          </w:p>
        </w:tc>
        <w:tc>
          <w:tcPr>
            <w:tcW w:w="5133" w:type="dxa"/>
          </w:tcPr>
          <w:p w:rsidR="005835E1" w:rsidRPr="00C17511" w:rsidRDefault="005835E1" w:rsidP="00D63151">
            <w:pPr>
              <w:rPr>
                <w:b/>
                <w:lang w:val="uk-UA"/>
              </w:rPr>
            </w:pPr>
            <w:r w:rsidRPr="00C17511">
              <w:rPr>
                <w:b/>
                <w:lang w:val="uk-UA"/>
              </w:rPr>
              <w:t>Автоматичний аналіз і оцінка важкості гіпоксії  плоду з 24 тижня вагітності</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676"/>
        </w:trPr>
        <w:tc>
          <w:tcPr>
            <w:tcW w:w="538" w:type="dxa"/>
          </w:tcPr>
          <w:p w:rsidR="005835E1" w:rsidRPr="00C17511" w:rsidRDefault="005835E1" w:rsidP="00D63151">
            <w:pPr>
              <w:ind w:left="-108" w:right="-108"/>
              <w:jc w:val="both"/>
              <w:rPr>
                <w:lang w:val="uk-UA"/>
              </w:rPr>
            </w:pPr>
            <w:r w:rsidRPr="00C17511">
              <w:rPr>
                <w:lang w:val="uk-UA"/>
              </w:rPr>
              <w:t>1.11</w:t>
            </w:r>
          </w:p>
        </w:tc>
        <w:tc>
          <w:tcPr>
            <w:tcW w:w="5133" w:type="dxa"/>
          </w:tcPr>
          <w:p w:rsidR="005835E1" w:rsidRPr="00C17511" w:rsidRDefault="005835E1" w:rsidP="00D63151">
            <w:pPr>
              <w:rPr>
                <w:b/>
                <w:lang w:val="uk-UA"/>
              </w:rPr>
            </w:pPr>
            <w:r w:rsidRPr="00C17511">
              <w:rPr>
                <w:b/>
                <w:lang w:val="uk-UA"/>
              </w:rPr>
              <w:t xml:space="preserve">Автоматичний розрахунок та аналіз параметрів </w:t>
            </w:r>
            <w:proofErr w:type="spellStart"/>
            <w:r w:rsidRPr="00C17511">
              <w:rPr>
                <w:b/>
                <w:lang w:val="uk-UA"/>
              </w:rPr>
              <w:t>інтранатальної</w:t>
            </w:r>
            <w:proofErr w:type="spellEnd"/>
            <w:r w:rsidRPr="00C17511">
              <w:rPr>
                <w:b/>
                <w:lang w:val="uk-UA"/>
              </w:rPr>
              <w:t xml:space="preserve"> КТГ в режимі реального часу (1 період пологів</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676"/>
        </w:trPr>
        <w:tc>
          <w:tcPr>
            <w:tcW w:w="538" w:type="dxa"/>
          </w:tcPr>
          <w:p w:rsidR="005835E1" w:rsidRPr="00C17511" w:rsidRDefault="005835E1" w:rsidP="00D63151">
            <w:pPr>
              <w:ind w:left="-108" w:right="-108"/>
              <w:jc w:val="both"/>
              <w:rPr>
                <w:lang w:val="uk-UA"/>
              </w:rPr>
            </w:pPr>
            <w:r w:rsidRPr="00C17511">
              <w:rPr>
                <w:lang w:val="uk-UA"/>
              </w:rPr>
              <w:t>1.12</w:t>
            </w:r>
          </w:p>
        </w:tc>
        <w:tc>
          <w:tcPr>
            <w:tcW w:w="5133" w:type="dxa"/>
          </w:tcPr>
          <w:p w:rsidR="005835E1" w:rsidRPr="00C17511" w:rsidRDefault="005835E1" w:rsidP="00D63151">
            <w:pPr>
              <w:rPr>
                <w:b/>
                <w:lang w:val="uk-UA"/>
              </w:rPr>
            </w:pPr>
            <w:r w:rsidRPr="00C17511">
              <w:rPr>
                <w:lang w:val="uk-UA"/>
              </w:rPr>
              <w:t>Відображення на дисплей та роздруківка кожні 15 хвилин значення наступних параметрів за цей проміжок часу: базальної частоти, сума загублених ударів</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676"/>
        </w:trPr>
        <w:tc>
          <w:tcPr>
            <w:tcW w:w="538" w:type="dxa"/>
          </w:tcPr>
          <w:p w:rsidR="005835E1" w:rsidRPr="00C17511" w:rsidRDefault="005835E1" w:rsidP="00D63151">
            <w:pPr>
              <w:ind w:left="-108" w:right="-108"/>
              <w:jc w:val="both"/>
              <w:rPr>
                <w:lang w:val="uk-UA"/>
              </w:rPr>
            </w:pPr>
            <w:r w:rsidRPr="00C17511">
              <w:rPr>
                <w:lang w:val="uk-UA"/>
              </w:rPr>
              <w:t>1.13</w:t>
            </w:r>
          </w:p>
        </w:tc>
        <w:tc>
          <w:tcPr>
            <w:tcW w:w="5133" w:type="dxa"/>
          </w:tcPr>
          <w:p w:rsidR="005835E1" w:rsidRPr="00C17511" w:rsidRDefault="005835E1" w:rsidP="00D63151">
            <w:pPr>
              <w:rPr>
                <w:lang w:val="uk-UA"/>
              </w:rPr>
            </w:pPr>
            <w:r w:rsidRPr="00C17511">
              <w:rPr>
                <w:lang w:val="uk-UA"/>
              </w:rPr>
              <w:t xml:space="preserve">Виведення на дисплей та друк кожні 60 хвилин значення наступних параметрів за цей проміжок часу: базальної частоти, сума загублених ударів, </w:t>
            </w:r>
            <w:r w:rsidRPr="00C17511">
              <w:rPr>
                <w:b/>
                <w:lang w:val="uk-UA"/>
              </w:rPr>
              <w:t>варіабельності коротких відрізків (STV)</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441"/>
        </w:trPr>
        <w:tc>
          <w:tcPr>
            <w:tcW w:w="10348" w:type="dxa"/>
            <w:gridSpan w:val="4"/>
          </w:tcPr>
          <w:p w:rsidR="005835E1" w:rsidRPr="00C17511" w:rsidRDefault="005835E1" w:rsidP="00D63151">
            <w:pPr>
              <w:rPr>
                <w:b/>
                <w:lang w:val="uk-UA"/>
              </w:rPr>
            </w:pPr>
            <w:r w:rsidRPr="00C17511">
              <w:rPr>
                <w:b/>
                <w:lang w:val="uk-UA"/>
              </w:rPr>
              <w:t xml:space="preserve"> 2. Вимоги за основними технічними характеристиками</w:t>
            </w:r>
          </w:p>
        </w:tc>
      </w:tr>
      <w:tr w:rsidR="005835E1" w:rsidRPr="00C17511" w:rsidTr="00D63151">
        <w:trPr>
          <w:cantSplit/>
          <w:trHeight w:val="292"/>
        </w:trPr>
        <w:tc>
          <w:tcPr>
            <w:tcW w:w="538" w:type="dxa"/>
          </w:tcPr>
          <w:p w:rsidR="005835E1" w:rsidRPr="00C17511" w:rsidRDefault="005835E1" w:rsidP="00D63151">
            <w:pPr>
              <w:ind w:left="-108" w:right="-108"/>
              <w:jc w:val="both"/>
              <w:rPr>
                <w:lang w:val="uk-UA"/>
              </w:rPr>
            </w:pPr>
            <w:r w:rsidRPr="00C17511">
              <w:rPr>
                <w:lang w:val="uk-UA"/>
              </w:rPr>
              <w:t>2.1</w:t>
            </w:r>
          </w:p>
        </w:tc>
        <w:tc>
          <w:tcPr>
            <w:tcW w:w="5133" w:type="dxa"/>
          </w:tcPr>
          <w:p w:rsidR="005835E1" w:rsidRPr="00C17511" w:rsidRDefault="005835E1" w:rsidP="00D63151">
            <w:pPr>
              <w:rPr>
                <w:b/>
                <w:lang w:val="uk-UA"/>
              </w:rPr>
            </w:pPr>
            <w:r w:rsidRPr="00C17511">
              <w:rPr>
                <w:b/>
                <w:lang w:val="uk-UA"/>
              </w:rPr>
              <w:t>Ультразвуковий  канал реєстрації ЧСС :</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ind w:left="-108" w:right="-108"/>
              <w:jc w:val="both"/>
              <w:rPr>
                <w:lang w:val="uk-UA"/>
              </w:rPr>
            </w:pPr>
            <w:r w:rsidRPr="00C17511">
              <w:rPr>
                <w:lang w:val="uk-UA"/>
              </w:rPr>
              <w:t>2.1.1</w:t>
            </w:r>
          </w:p>
        </w:tc>
        <w:tc>
          <w:tcPr>
            <w:tcW w:w="5133" w:type="dxa"/>
          </w:tcPr>
          <w:p w:rsidR="005835E1" w:rsidRPr="00C17511" w:rsidRDefault="005835E1" w:rsidP="00D63151">
            <w:pPr>
              <w:rPr>
                <w:lang w:val="uk-UA"/>
              </w:rPr>
            </w:pPr>
            <w:r w:rsidRPr="00C17511">
              <w:rPr>
                <w:lang w:val="uk-UA"/>
              </w:rPr>
              <w:t xml:space="preserve">Спрямований імпульсний </w:t>
            </w:r>
            <w:proofErr w:type="spellStart"/>
            <w:r w:rsidRPr="00C17511">
              <w:rPr>
                <w:lang w:val="uk-UA"/>
              </w:rPr>
              <w:t>допплер</w:t>
            </w:r>
            <w:proofErr w:type="spellEnd"/>
            <w:r w:rsidRPr="00C17511">
              <w:rPr>
                <w:lang w:val="uk-UA"/>
              </w:rPr>
              <w:t xml:space="preserve"> з автокореляцією</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586"/>
        </w:trPr>
        <w:tc>
          <w:tcPr>
            <w:tcW w:w="538" w:type="dxa"/>
          </w:tcPr>
          <w:p w:rsidR="005835E1" w:rsidRPr="00C17511" w:rsidRDefault="005835E1" w:rsidP="00D63151">
            <w:pPr>
              <w:ind w:left="-108" w:right="-108"/>
              <w:jc w:val="both"/>
              <w:rPr>
                <w:lang w:val="uk-UA"/>
              </w:rPr>
            </w:pPr>
            <w:r w:rsidRPr="00C17511">
              <w:rPr>
                <w:lang w:val="uk-UA"/>
              </w:rPr>
              <w:t>2.1.2</w:t>
            </w:r>
          </w:p>
        </w:tc>
        <w:tc>
          <w:tcPr>
            <w:tcW w:w="5133" w:type="dxa"/>
          </w:tcPr>
          <w:p w:rsidR="005835E1" w:rsidRPr="00C17511" w:rsidRDefault="005835E1" w:rsidP="00D63151">
            <w:pPr>
              <w:rPr>
                <w:lang w:val="uk-UA"/>
              </w:rPr>
            </w:pPr>
            <w:proofErr w:type="spellStart"/>
            <w:r w:rsidRPr="00C17511">
              <w:rPr>
                <w:lang w:val="uk-UA"/>
              </w:rPr>
              <w:t>Мультикристалічний</w:t>
            </w:r>
            <w:proofErr w:type="spellEnd"/>
            <w:r w:rsidRPr="00C17511">
              <w:rPr>
                <w:lang w:val="uk-UA"/>
              </w:rPr>
              <w:t xml:space="preserve"> УЗ датчик з частотою не більше</w:t>
            </w:r>
          </w:p>
        </w:tc>
        <w:tc>
          <w:tcPr>
            <w:tcW w:w="2409" w:type="dxa"/>
          </w:tcPr>
          <w:p w:rsidR="005835E1" w:rsidRPr="00C17511" w:rsidRDefault="005835E1" w:rsidP="00D63151">
            <w:pPr>
              <w:jc w:val="center"/>
              <w:rPr>
                <w:lang w:val="uk-UA"/>
              </w:rPr>
            </w:pPr>
            <w:r w:rsidRPr="00C17511">
              <w:rPr>
                <w:lang w:val="uk-UA"/>
              </w:rPr>
              <w:t xml:space="preserve">1.0 </w:t>
            </w:r>
            <w:proofErr w:type="spellStart"/>
            <w:r w:rsidRPr="00C17511">
              <w:rPr>
                <w:lang w:val="uk-UA"/>
              </w:rPr>
              <w:t>МГц</w:t>
            </w:r>
            <w:proofErr w:type="spellEnd"/>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ind w:left="-108" w:right="-108"/>
              <w:jc w:val="both"/>
              <w:rPr>
                <w:lang w:val="uk-UA"/>
              </w:rPr>
            </w:pPr>
            <w:r w:rsidRPr="00C17511">
              <w:rPr>
                <w:lang w:val="uk-UA"/>
              </w:rPr>
              <w:t>2.1.3</w:t>
            </w:r>
          </w:p>
        </w:tc>
        <w:tc>
          <w:tcPr>
            <w:tcW w:w="5133" w:type="dxa"/>
          </w:tcPr>
          <w:p w:rsidR="005835E1" w:rsidRPr="00C17511" w:rsidRDefault="005835E1" w:rsidP="00D63151">
            <w:pPr>
              <w:rPr>
                <w:lang w:val="uk-UA"/>
              </w:rPr>
            </w:pPr>
            <w:r w:rsidRPr="00C17511">
              <w:rPr>
                <w:lang w:val="uk-UA"/>
              </w:rPr>
              <w:t>Діапазон виміру ЧСС плода  (</w:t>
            </w:r>
            <w:proofErr w:type="spellStart"/>
            <w:r w:rsidRPr="00C17511">
              <w:rPr>
                <w:lang w:val="uk-UA"/>
              </w:rPr>
              <w:t>уд</w:t>
            </w:r>
            <w:proofErr w:type="spellEnd"/>
            <w:r w:rsidRPr="00C17511">
              <w:rPr>
                <w:lang w:val="uk-UA"/>
              </w:rPr>
              <w:t>./</w:t>
            </w:r>
            <w:proofErr w:type="spellStart"/>
            <w:r w:rsidRPr="00C17511">
              <w:rPr>
                <w:lang w:val="uk-UA"/>
              </w:rPr>
              <w:t>хв</w:t>
            </w:r>
            <w:proofErr w:type="spellEnd"/>
            <w:r w:rsidRPr="00C17511">
              <w:rPr>
                <w:lang w:val="uk-UA"/>
              </w:rPr>
              <w:t>)</w:t>
            </w:r>
          </w:p>
        </w:tc>
        <w:tc>
          <w:tcPr>
            <w:tcW w:w="2409" w:type="dxa"/>
          </w:tcPr>
          <w:p w:rsidR="005835E1" w:rsidRPr="00C17511" w:rsidRDefault="005835E1" w:rsidP="00D63151">
            <w:pPr>
              <w:jc w:val="center"/>
              <w:rPr>
                <w:lang w:val="uk-UA"/>
              </w:rPr>
            </w:pPr>
            <w:r w:rsidRPr="00C17511">
              <w:rPr>
                <w:lang w:val="uk-UA"/>
              </w:rPr>
              <w:t xml:space="preserve">30-240 </w:t>
            </w:r>
          </w:p>
        </w:tc>
        <w:tc>
          <w:tcPr>
            <w:tcW w:w="2268" w:type="dxa"/>
          </w:tcPr>
          <w:p w:rsidR="005835E1" w:rsidRPr="00C17511" w:rsidRDefault="005835E1" w:rsidP="00D63151">
            <w:pPr>
              <w:jc w:val="center"/>
              <w:rPr>
                <w:lang w:val="uk-UA"/>
              </w:rPr>
            </w:pPr>
          </w:p>
        </w:tc>
      </w:tr>
      <w:tr w:rsidR="005835E1" w:rsidRPr="00C17511" w:rsidTr="00D63151">
        <w:trPr>
          <w:cantSplit/>
          <w:trHeight w:val="740"/>
        </w:trPr>
        <w:tc>
          <w:tcPr>
            <w:tcW w:w="538" w:type="dxa"/>
          </w:tcPr>
          <w:p w:rsidR="005835E1" w:rsidRPr="00C17511" w:rsidRDefault="005835E1" w:rsidP="00D63151">
            <w:pPr>
              <w:ind w:left="-108" w:right="-108"/>
              <w:jc w:val="both"/>
              <w:rPr>
                <w:lang w:val="uk-UA"/>
              </w:rPr>
            </w:pPr>
            <w:r w:rsidRPr="00C17511">
              <w:rPr>
                <w:lang w:val="uk-UA"/>
              </w:rPr>
              <w:t>2.1.4</w:t>
            </w:r>
          </w:p>
        </w:tc>
        <w:tc>
          <w:tcPr>
            <w:tcW w:w="5133" w:type="dxa"/>
          </w:tcPr>
          <w:p w:rsidR="005835E1" w:rsidRPr="00C17511" w:rsidRDefault="005835E1" w:rsidP="00D63151">
            <w:pPr>
              <w:rPr>
                <w:lang w:val="uk-UA"/>
              </w:rPr>
            </w:pPr>
            <w:r w:rsidRPr="00C17511">
              <w:rPr>
                <w:lang w:val="uk-UA"/>
              </w:rPr>
              <w:t>Реєстрація ЧСС плоду від удару до удару</w:t>
            </w:r>
          </w:p>
        </w:tc>
        <w:tc>
          <w:tcPr>
            <w:tcW w:w="2409" w:type="dxa"/>
          </w:tcPr>
          <w:p w:rsidR="005835E1" w:rsidRPr="00C17511" w:rsidRDefault="005835E1" w:rsidP="00D63151">
            <w:pPr>
              <w:jc w:val="center"/>
              <w:rPr>
                <w:lang w:val="uk-UA"/>
              </w:rPr>
            </w:pPr>
            <w:r w:rsidRPr="00C17511">
              <w:rPr>
                <w:lang w:val="uk-UA"/>
              </w:rPr>
              <w:t>Наявність</w:t>
            </w:r>
          </w:p>
        </w:tc>
        <w:tc>
          <w:tcPr>
            <w:tcW w:w="2268" w:type="dxa"/>
          </w:tcPr>
          <w:p w:rsidR="005835E1" w:rsidRPr="00C17511" w:rsidRDefault="005835E1" w:rsidP="00D63151">
            <w:pPr>
              <w:jc w:val="center"/>
              <w:rPr>
                <w:lang w:val="uk-UA"/>
              </w:rPr>
            </w:pPr>
          </w:p>
        </w:tc>
      </w:tr>
      <w:tr w:rsidR="005835E1" w:rsidRPr="00C17511" w:rsidTr="00D63151">
        <w:trPr>
          <w:cantSplit/>
          <w:trHeight w:val="852"/>
        </w:trPr>
        <w:tc>
          <w:tcPr>
            <w:tcW w:w="538" w:type="dxa"/>
          </w:tcPr>
          <w:p w:rsidR="005835E1" w:rsidRPr="00C17511" w:rsidRDefault="005835E1" w:rsidP="00D63151">
            <w:pPr>
              <w:ind w:left="-108" w:right="-108"/>
              <w:jc w:val="both"/>
              <w:rPr>
                <w:lang w:val="uk-UA"/>
              </w:rPr>
            </w:pPr>
            <w:r w:rsidRPr="00C17511">
              <w:rPr>
                <w:lang w:val="uk-UA"/>
              </w:rPr>
              <w:t>2.1.5</w:t>
            </w:r>
          </w:p>
        </w:tc>
        <w:tc>
          <w:tcPr>
            <w:tcW w:w="5133" w:type="dxa"/>
          </w:tcPr>
          <w:p w:rsidR="005835E1" w:rsidRPr="00C17511" w:rsidRDefault="005835E1" w:rsidP="00D63151">
            <w:pPr>
              <w:rPr>
                <w:lang w:val="uk-UA"/>
              </w:rPr>
            </w:pPr>
            <w:proofErr w:type="spellStart"/>
            <w:r w:rsidRPr="00C17511">
              <w:rPr>
                <w:lang w:val="uk-UA"/>
              </w:rPr>
              <w:t>Міжканальна</w:t>
            </w:r>
            <w:proofErr w:type="spellEnd"/>
            <w:r w:rsidRPr="00C17511">
              <w:rPr>
                <w:lang w:val="uk-UA"/>
              </w:rPr>
              <w:t xml:space="preserve"> верифікація ЧСС при двійні</w:t>
            </w:r>
          </w:p>
        </w:tc>
        <w:tc>
          <w:tcPr>
            <w:tcW w:w="2409" w:type="dxa"/>
          </w:tcPr>
          <w:p w:rsidR="005835E1" w:rsidRPr="00C17511" w:rsidRDefault="005835E1" w:rsidP="00D63151">
            <w:pPr>
              <w:jc w:val="center"/>
              <w:rPr>
                <w:lang w:val="uk-UA"/>
              </w:rPr>
            </w:pPr>
            <w:r w:rsidRPr="00C17511">
              <w:rPr>
                <w:lang w:val="uk-UA"/>
              </w:rPr>
              <w:t>Можливість</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Pr>
          <w:p w:rsidR="005835E1" w:rsidRPr="00C17511" w:rsidRDefault="005835E1" w:rsidP="00D63151">
            <w:pPr>
              <w:ind w:left="-108" w:right="-108"/>
              <w:jc w:val="both"/>
              <w:rPr>
                <w:lang w:val="uk-UA"/>
              </w:rPr>
            </w:pPr>
            <w:r w:rsidRPr="00C17511">
              <w:rPr>
                <w:lang w:val="uk-UA"/>
              </w:rPr>
              <w:t>2.1.6</w:t>
            </w:r>
          </w:p>
        </w:tc>
        <w:tc>
          <w:tcPr>
            <w:tcW w:w="5133" w:type="dxa"/>
          </w:tcPr>
          <w:p w:rsidR="005835E1" w:rsidRPr="00C17511" w:rsidRDefault="005835E1" w:rsidP="00D63151">
            <w:pPr>
              <w:rPr>
                <w:lang w:val="uk-UA"/>
              </w:rPr>
            </w:pPr>
            <w:r w:rsidRPr="00C17511">
              <w:rPr>
                <w:lang w:val="uk-UA"/>
              </w:rPr>
              <w:t xml:space="preserve">Точність в діапазоні 100-180 </w:t>
            </w:r>
            <w:proofErr w:type="spellStart"/>
            <w:r w:rsidRPr="00C17511">
              <w:rPr>
                <w:lang w:val="uk-UA"/>
              </w:rPr>
              <w:t>уд</w:t>
            </w:r>
            <w:proofErr w:type="spellEnd"/>
            <w:r w:rsidRPr="00C17511">
              <w:rPr>
                <w:lang w:val="uk-UA"/>
              </w:rPr>
              <w:t>/</w:t>
            </w:r>
            <w:proofErr w:type="spellStart"/>
            <w:r w:rsidRPr="00C17511">
              <w:rPr>
                <w:lang w:val="uk-UA"/>
              </w:rPr>
              <w:t>хв</w:t>
            </w:r>
            <w:proofErr w:type="spellEnd"/>
            <w:r w:rsidRPr="00C17511">
              <w:rPr>
                <w:lang w:val="uk-UA"/>
              </w:rPr>
              <w:t>, не нижче</w:t>
            </w:r>
          </w:p>
        </w:tc>
        <w:tc>
          <w:tcPr>
            <w:tcW w:w="2409" w:type="dxa"/>
          </w:tcPr>
          <w:p w:rsidR="005835E1" w:rsidRPr="00C17511" w:rsidRDefault="005835E1" w:rsidP="00D63151">
            <w:pPr>
              <w:jc w:val="center"/>
              <w:rPr>
                <w:lang w:val="uk-UA"/>
              </w:rPr>
            </w:pPr>
            <w:r w:rsidRPr="00C17511">
              <w:rPr>
                <w:lang w:val="uk-UA"/>
              </w:rPr>
              <w:t xml:space="preserve">+/- 1 </w:t>
            </w:r>
            <w:proofErr w:type="spellStart"/>
            <w:r w:rsidRPr="00C17511">
              <w:rPr>
                <w:lang w:val="uk-UA"/>
              </w:rPr>
              <w:t>уд</w:t>
            </w:r>
            <w:proofErr w:type="spellEnd"/>
            <w:r w:rsidRPr="00C17511">
              <w:rPr>
                <w:lang w:val="uk-UA"/>
              </w:rPr>
              <w:t>/</w:t>
            </w:r>
            <w:proofErr w:type="spellStart"/>
            <w:r w:rsidRPr="00C17511">
              <w:rPr>
                <w:lang w:val="uk-UA"/>
              </w:rPr>
              <w:t>хв</w:t>
            </w:r>
            <w:proofErr w:type="spellEnd"/>
            <w:r w:rsidRPr="00C17511">
              <w:rPr>
                <w:b/>
                <w:lang w:val="uk-UA"/>
              </w:rPr>
              <w:t xml:space="preserve">  </w:t>
            </w:r>
          </w:p>
        </w:tc>
        <w:tc>
          <w:tcPr>
            <w:tcW w:w="2268" w:type="dxa"/>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2.1.7</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Безпека</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Тип захисту СF</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b/>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2.1.8</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Клас захисту від проникнення рідини</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 xml:space="preserve"> IPX7 </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b/>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both"/>
              <w:rPr>
                <w:lang w:val="uk-UA"/>
              </w:rPr>
            </w:pPr>
            <w:r w:rsidRPr="00C17511">
              <w:rPr>
                <w:lang w:val="uk-UA"/>
              </w:rPr>
              <w:t>2.2</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b/>
                <w:lang w:val="uk-UA"/>
              </w:rPr>
            </w:pPr>
            <w:r w:rsidRPr="00C17511">
              <w:rPr>
                <w:b/>
                <w:lang w:val="uk-UA"/>
              </w:rPr>
              <w:t>Канал  реєстрації скорочувальної діяльності матки</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2.2.1</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 xml:space="preserve">Діапазон виміру </w:t>
            </w:r>
            <w:proofErr w:type="spellStart"/>
            <w:r w:rsidRPr="00C17511">
              <w:rPr>
                <w:lang w:val="uk-UA"/>
              </w:rPr>
              <w:t>ТОСО</w:t>
            </w:r>
            <w:proofErr w:type="spellEnd"/>
            <w:r w:rsidRPr="00C17511">
              <w:rPr>
                <w:lang w:val="uk-UA"/>
              </w:rPr>
              <w:t xml:space="preserve"> датчика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0-100</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rPr>
                <w:lang w:val="uk-UA"/>
              </w:rPr>
            </w:pPr>
            <w:r w:rsidRPr="00C17511">
              <w:rPr>
                <w:lang w:val="uk-UA"/>
              </w:rPr>
              <w:lastRenderedPageBreak/>
              <w:t>2.2.2</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proofErr w:type="spellStart"/>
            <w:r w:rsidRPr="00C17511">
              <w:rPr>
                <w:lang w:val="uk-UA"/>
              </w:rPr>
              <w:t>Автообнулення</w:t>
            </w:r>
            <w:proofErr w:type="spellEnd"/>
            <w:r w:rsidRPr="00C17511">
              <w:rPr>
                <w:lang w:val="uk-UA"/>
              </w:rPr>
              <w:t xml:space="preserve">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rPr>
                <w:lang w:val="uk-UA"/>
              </w:rPr>
            </w:pPr>
            <w:r w:rsidRPr="00C17511">
              <w:rPr>
                <w:lang w:val="uk-UA"/>
              </w:rPr>
              <w:t>2.2.3</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Безпека</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Тип захисту СF</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rPr>
                <w:lang w:val="uk-UA"/>
              </w:rPr>
            </w:pPr>
            <w:r w:rsidRPr="00C17511">
              <w:rPr>
                <w:lang w:val="uk-UA"/>
              </w:rPr>
              <w:t>2.2.4</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Клас захисту від проникнення рідини</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 xml:space="preserve"> IPX7 </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both"/>
              <w:rPr>
                <w:lang w:val="uk-UA"/>
              </w:rPr>
            </w:pPr>
            <w:r w:rsidRPr="00C17511">
              <w:rPr>
                <w:lang w:val="uk-UA"/>
              </w:rPr>
              <w:t>2.3</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b/>
                <w:lang w:val="uk-UA"/>
              </w:rPr>
            </w:pPr>
            <w:r w:rsidRPr="00C17511">
              <w:rPr>
                <w:b/>
                <w:lang w:val="uk-UA"/>
              </w:rPr>
              <w:t>Канал реєстрації рухової активності плоду за допомогою відмітника подій</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both"/>
              <w:rPr>
                <w:lang w:val="uk-UA"/>
              </w:rPr>
            </w:pPr>
            <w:r w:rsidRPr="00C17511">
              <w:rPr>
                <w:lang w:val="uk-UA"/>
              </w:rPr>
              <w:t>2.4</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b/>
                <w:lang w:val="uk-UA"/>
              </w:rPr>
            </w:pPr>
            <w:r w:rsidRPr="00C17511">
              <w:rPr>
                <w:b/>
                <w:lang w:val="uk-UA"/>
              </w:rPr>
              <w:t>Термопринтер</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2.4.1</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Швидкість протягування паперу</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1,2 та 3 см/</w:t>
            </w:r>
            <w:proofErr w:type="spellStart"/>
            <w:r w:rsidRPr="00C17511">
              <w:rPr>
                <w:lang w:val="uk-UA"/>
              </w:rPr>
              <w:t>хв</w:t>
            </w:r>
            <w:proofErr w:type="spellEnd"/>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rPr>
                <w:lang w:val="uk-UA"/>
              </w:rPr>
            </w:pPr>
            <w:r w:rsidRPr="00C17511">
              <w:rPr>
                <w:lang w:val="uk-UA"/>
              </w:rPr>
              <w:t>2.4.2</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Режим пришвидшеного друку даних з архіву</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2.4.3</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 xml:space="preserve">Друк реальної КТГ та протоколу випробувань без перерв на одному аркуші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628"/>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2.4.4</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Друк кривої ЧСС кожного плоду при двійні в своїй осі координат</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Можливість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2.5</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b/>
                <w:lang w:val="uk-UA"/>
              </w:rPr>
            </w:pPr>
            <w:r w:rsidRPr="00C17511">
              <w:rPr>
                <w:b/>
                <w:lang w:val="uk-UA"/>
              </w:rPr>
              <w:t xml:space="preserve">Дисплей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2.5.1</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Тип дисплея рідкокристалічний  кольоровий сенсорний, не менше 8.4''</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2.6</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b/>
                <w:lang w:val="uk-UA"/>
              </w:rPr>
              <w:t>Телеметрія та центральна станція</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Можливість підключення</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480"/>
        </w:trPr>
        <w:tc>
          <w:tcPr>
            <w:tcW w:w="10348" w:type="dxa"/>
            <w:gridSpan w:val="4"/>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b/>
                <w:lang w:val="uk-UA"/>
              </w:rPr>
              <w:t xml:space="preserve">3. Вимоги до комплектації обладнання </w:t>
            </w: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3.1</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 xml:space="preserve">Монітор із вбудованим процесором, дисплеєм та </w:t>
            </w:r>
            <w:proofErr w:type="spellStart"/>
            <w:r w:rsidRPr="00C17511">
              <w:rPr>
                <w:lang w:val="uk-UA"/>
              </w:rPr>
              <w:t>термопринтером</w:t>
            </w:r>
            <w:proofErr w:type="spellEnd"/>
            <w:r w:rsidRPr="00C17511">
              <w:rPr>
                <w:lang w:val="uk-UA"/>
              </w:rPr>
              <w:t xml:space="preserve">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3.2</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УЗ датчик</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2 шт.</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3.3</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ТОКО датчик</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1 шт.</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3.4</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Відмітник рухів (подій) плода</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1 шт.</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3.5</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proofErr w:type="spellStart"/>
            <w:r w:rsidRPr="00C17511">
              <w:rPr>
                <w:lang w:val="uk-UA"/>
              </w:rPr>
              <w:t>Термопапір</w:t>
            </w:r>
            <w:proofErr w:type="spellEnd"/>
            <w:r w:rsidRPr="00C17511">
              <w:rPr>
                <w:lang w:val="uk-UA"/>
              </w:rPr>
              <w:t xml:space="preserve"> </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1 пачка</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391"/>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3.6</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Мережевий шнур</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1 шт.</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3.7</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lang w:val="uk-UA"/>
              </w:rPr>
            </w:pPr>
            <w:r w:rsidRPr="00C17511">
              <w:rPr>
                <w:lang w:val="uk-UA"/>
              </w:rPr>
              <w:t>Акумулятор</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r w:rsidR="005835E1" w:rsidRPr="00C17511" w:rsidTr="00D63151">
        <w:trPr>
          <w:cantSplit/>
          <w:trHeight w:val="292"/>
        </w:trPr>
        <w:tc>
          <w:tcPr>
            <w:tcW w:w="53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ind w:left="-108" w:right="-108"/>
              <w:jc w:val="both"/>
              <w:rPr>
                <w:lang w:val="uk-UA"/>
              </w:rPr>
            </w:pPr>
            <w:r w:rsidRPr="00C17511">
              <w:rPr>
                <w:lang w:val="uk-UA"/>
              </w:rPr>
              <w:t>3.8</w:t>
            </w:r>
          </w:p>
        </w:tc>
        <w:tc>
          <w:tcPr>
            <w:tcW w:w="5133"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rPr>
                <w:bCs/>
                <w:lang w:val="uk-UA"/>
              </w:rPr>
            </w:pPr>
            <w:r w:rsidRPr="00C17511">
              <w:rPr>
                <w:lang w:val="uk-UA"/>
              </w:rPr>
              <w:t>Візок</w:t>
            </w:r>
          </w:p>
        </w:tc>
        <w:tc>
          <w:tcPr>
            <w:tcW w:w="2409"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r w:rsidRPr="00C17511">
              <w:rPr>
                <w:lang w:val="uk-UA"/>
              </w:rPr>
              <w:t>Наявність</w:t>
            </w:r>
          </w:p>
        </w:tc>
        <w:tc>
          <w:tcPr>
            <w:tcW w:w="2268" w:type="dxa"/>
            <w:tcBorders>
              <w:top w:val="single" w:sz="4" w:space="0" w:color="auto"/>
              <w:left w:val="single" w:sz="4" w:space="0" w:color="auto"/>
              <w:bottom w:val="single" w:sz="4" w:space="0" w:color="auto"/>
              <w:right w:val="single" w:sz="4" w:space="0" w:color="auto"/>
            </w:tcBorders>
          </w:tcPr>
          <w:p w:rsidR="005835E1" w:rsidRPr="00C17511" w:rsidRDefault="005835E1" w:rsidP="00D63151">
            <w:pPr>
              <w:jc w:val="center"/>
              <w:rPr>
                <w:lang w:val="uk-UA"/>
              </w:rPr>
            </w:pPr>
          </w:p>
        </w:tc>
      </w:tr>
    </w:tbl>
    <w:p w:rsidR="00BF6B93" w:rsidRDefault="00BF6B93" w:rsidP="00D622E8">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BF6B93" w:rsidRDefault="005835E1" w:rsidP="00BF6B93">
      <w:pPr>
        <w:spacing w:line="240" w:lineRule="exact"/>
        <w:jc w:val="both"/>
        <w:rPr>
          <w:lang w:val="uk-UA"/>
        </w:rPr>
      </w:pPr>
      <w:r w:rsidRPr="005835E1">
        <w:rPr>
          <w:bCs/>
          <w:lang w:val="uk-UA"/>
        </w:rPr>
        <w:t>1 120</w:t>
      </w:r>
      <w:r w:rsidR="00BF6B93" w:rsidRPr="005835E1">
        <w:rPr>
          <w:bCs/>
          <w:lang w:val="uk-UA"/>
        </w:rPr>
        <w:t xml:space="preserve"> 000,00</w:t>
      </w:r>
      <w:r w:rsidR="00BF6B93" w:rsidRPr="005835E1">
        <w:rPr>
          <w:lang w:val="uk-UA"/>
        </w:rPr>
        <w:t xml:space="preserve"> грн. (</w:t>
      </w:r>
      <w:r w:rsidRPr="005835E1">
        <w:rPr>
          <w:lang w:val="uk-UA"/>
        </w:rPr>
        <w:t>Один</w:t>
      </w:r>
      <w:r w:rsidR="00BF6B93" w:rsidRPr="005835E1">
        <w:rPr>
          <w:lang w:val="uk-UA"/>
        </w:rPr>
        <w:t xml:space="preserve"> мільйон</w:t>
      </w:r>
      <w:r w:rsidRPr="005835E1">
        <w:rPr>
          <w:lang w:val="uk-UA"/>
        </w:rPr>
        <w:t xml:space="preserve"> сто двадцять</w:t>
      </w:r>
      <w:r w:rsidR="00BF6B93" w:rsidRPr="005835E1">
        <w:rPr>
          <w:lang w:val="uk-UA"/>
        </w:rPr>
        <w:t xml:space="preserve"> 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852D4"/>
    <w:rsid w:val="00117AA5"/>
    <w:rsid w:val="00133C43"/>
    <w:rsid w:val="0015076E"/>
    <w:rsid w:val="0015739F"/>
    <w:rsid w:val="001808BB"/>
    <w:rsid w:val="00197DA6"/>
    <w:rsid w:val="001D3CC8"/>
    <w:rsid w:val="002019FC"/>
    <w:rsid w:val="00212542"/>
    <w:rsid w:val="00254486"/>
    <w:rsid w:val="00273DB2"/>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835E1"/>
    <w:rsid w:val="00595897"/>
    <w:rsid w:val="005B2AE5"/>
    <w:rsid w:val="005E1A5F"/>
    <w:rsid w:val="005F540C"/>
    <w:rsid w:val="00611727"/>
    <w:rsid w:val="00621B78"/>
    <w:rsid w:val="0067364A"/>
    <w:rsid w:val="00686AD5"/>
    <w:rsid w:val="00696F66"/>
    <w:rsid w:val="006F79BF"/>
    <w:rsid w:val="007069DC"/>
    <w:rsid w:val="007224AC"/>
    <w:rsid w:val="00727771"/>
    <w:rsid w:val="00744063"/>
    <w:rsid w:val="00752BB8"/>
    <w:rsid w:val="00754EBA"/>
    <w:rsid w:val="007A6358"/>
    <w:rsid w:val="007D5A49"/>
    <w:rsid w:val="007E0B3C"/>
    <w:rsid w:val="0080621E"/>
    <w:rsid w:val="008840DE"/>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B2B10"/>
    <w:rsid w:val="00AB3F0C"/>
    <w:rsid w:val="00AD2BEE"/>
    <w:rsid w:val="00AE2B40"/>
    <w:rsid w:val="00B20090"/>
    <w:rsid w:val="00B41D38"/>
    <w:rsid w:val="00B55706"/>
    <w:rsid w:val="00B748F8"/>
    <w:rsid w:val="00BC47CE"/>
    <w:rsid w:val="00BE1136"/>
    <w:rsid w:val="00BF6B93"/>
    <w:rsid w:val="00C306D6"/>
    <w:rsid w:val="00C3401C"/>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2AF4"/>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5835E1"/>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0F489-AF2E-40A4-9770-C78C011F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1012</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92</cp:revision>
  <cp:lastPrinted>2022-09-12T13:50:00Z</cp:lastPrinted>
  <dcterms:created xsi:type="dcterms:W3CDTF">2021-07-26T14:33:00Z</dcterms:created>
  <dcterms:modified xsi:type="dcterms:W3CDTF">2024-09-16T11:45:00Z</dcterms:modified>
</cp:coreProperties>
</file>