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514F2B">
        <w:rPr>
          <w:lang w:val="uk-UA"/>
        </w:rPr>
        <w:t xml:space="preserve">: </w:t>
      </w:r>
    </w:p>
    <w:p w:rsidR="00DC6EE8" w:rsidRPr="00282622" w:rsidRDefault="00282622" w:rsidP="0047272A">
      <w:pPr>
        <w:spacing w:line="220" w:lineRule="exact"/>
        <w:ind w:left="709" w:hanging="1"/>
        <w:jc w:val="both"/>
        <w:rPr>
          <w:color w:val="000000"/>
          <w:lang w:val="uk-UA" w:eastAsia="ar-SA"/>
        </w:rPr>
      </w:pPr>
      <w:r w:rsidRPr="00282622">
        <w:rPr>
          <w:lang w:val="uk-UA"/>
        </w:rPr>
        <w:t xml:space="preserve">ДК 021:2015 – </w:t>
      </w:r>
      <w:r w:rsidRPr="00282622">
        <w:rPr>
          <w:lang w:val="uk-UA" w:eastAsia="ar-SA"/>
        </w:rPr>
        <w:t>33160000-9  «</w:t>
      </w:r>
      <w:r w:rsidRPr="00282622">
        <w:rPr>
          <w:lang w:val="uk-UA"/>
        </w:rPr>
        <w:t>Устаткування для операційних блоків</w:t>
      </w:r>
      <w:r w:rsidRPr="00282622">
        <w:rPr>
          <w:lang w:val="uk-UA" w:eastAsia="ar-SA"/>
        </w:rPr>
        <w:t xml:space="preserve">» </w:t>
      </w:r>
      <w:r w:rsidRPr="00282622">
        <w:rPr>
          <w:snapToGrid w:val="0"/>
          <w:lang w:val="uk-UA"/>
        </w:rPr>
        <w:t>(</w:t>
      </w:r>
      <w:r w:rsidRPr="00282622">
        <w:rPr>
          <w:bCs/>
          <w:lang w:val="uk-UA" w:eastAsia="uk-UA"/>
        </w:rPr>
        <w:t>Шейверна система</w:t>
      </w:r>
      <w:r w:rsidRPr="00282622">
        <w:rPr>
          <w:bCs/>
          <w:color w:val="000000" w:themeColor="text1"/>
          <w:lang w:val="uk-UA"/>
        </w:rPr>
        <w:t xml:space="preserve">: НК 024:2023: </w:t>
      </w:r>
      <w:r w:rsidRPr="00282622">
        <w:rPr>
          <w:bCs/>
          <w:lang w:val="uk-UA"/>
        </w:rPr>
        <w:t>44776 – Електрохірургічна система</w:t>
      </w:r>
      <w:r w:rsidRPr="00282622">
        <w:rPr>
          <w:snapToGrid w:val="0"/>
          <w:lang w:val="uk-UA"/>
        </w:rPr>
        <w:t>)</w:t>
      </w:r>
    </w:p>
    <w:p w:rsidR="0015076E" w:rsidRPr="00514F2B" w:rsidRDefault="0015076E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282622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  <w:r w:rsidRPr="00282622">
        <w:rPr>
          <w:lang w:val="uk-UA"/>
        </w:rPr>
        <w:t xml:space="preserve">3. </w:t>
      </w:r>
      <w:r w:rsidR="00DC6EE8" w:rsidRPr="00282622">
        <w:rPr>
          <w:b/>
          <w:lang w:val="uk-UA"/>
        </w:rPr>
        <w:t>Ідентифікатор закупівлі</w:t>
      </w:r>
      <w:r w:rsidR="00DC6EE8" w:rsidRPr="00282622">
        <w:rPr>
          <w:lang w:val="uk-UA"/>
        </w:rPr>
        <w:t xml:space="preserve">: </w:t>
      </w:r>
      <w:r w:rsidR="00282622" w:rsidRPr="00282622">
        <w:rPr>
          <w:color w:val="242638"/>
          <w:shd w:val="clear" w:color="auto" w:fill="FFFFFF"/>
        </w:rPr>
        <w:t>UA-2023-07-03-010478-a</w:t>
      </w:r>
    </w:p>
    <w:p w:rsidR="0015076E" w:rsidRPr="00514F2B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514F2B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shd w:val="clear" w:color="auto" w:fill="FFFFFF"/>
          <w:lang w:val="uk-UA"/>
        </w:rPr>
        <w:t xml:space="preserve">4. </w:t>
      </w:r>
      <w:r w:rsidRPr="00514F2B">
        <w:rPr>
          <w:b/>
          <w:lang w:val="uk-UA"/>
        </w:rPr>
        <w:t>Обґрунтування технічних та якісних характеристик предмета закупівлі</w:t>
      </w:r>
      <w:r w:rsidRPr="00514F2B">
        <w:rPr>
          <w:lang w:val="uk-UA"/>
        </w:rPr>
        <w:t xml:space="preserve">: </w:t>
      </w:r>
    </w:p>
    <w:p w:rsidR="00FE1ABD" w:rsidRPr="00514F2B" w:rsidRDefault="009608AA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У зв’язку із потребою оновлення матеріально-технічної бази Інституту, необхідно </w:t>
      </w:r>
      <w:r w:rsidRPr="00A1571B">
        <w:rPr>
          <w:lang w:val="uk-UA"/>
        </w:rPr>
        <w:t xml:space="preserve">провести закупівлю медичного обладнання з метою оснащення </w:t>
      </w:r>
      <w:r w:rsidR="00F93830" w:rsidRPr="00A1571B">
        <w:rPr>
          <w:lang w:val="uk-UA"/>
        </w:rPr>
        <w:t>відділен</w:t>
      </w:r>
      <w:r w:rsidR="00514F2B" w:rsidRPr="00A1571B">
        <w:rPr>
          <w:lang w:val="uk-UA"/>
        </w:rPr>
        <w:t>ня</w:t>
      </w:r>
      <w:r w:rsidRPr="00A1571B">
        <w:rPr>
          <w:lang w:val="uk-UA"/>
        </w:rPr>
        <w:t xml:space="preserve"> </w:t>
      </w:r>
      <w:r w:rsidR="00A1571B" w:rsidRPr="00A1571B">
        <w:rPr>
          <w:lang w:val="uk-UA"/>
        </w:rPr>
        <w:t xml:space="preserve">для повноцінної хірургічної допомоги хворим </w:t>
      </w:r>
      <w:r w:rsidRPr="00A1571B">
        <w:rPr>
          <w:lang w:val="uk-UA"/>
        </w:rPr>
        <w:t>з наступними медико-технічними вимогами, що встановлені висновком робочої групи, а саме:</w:t>
      </w:r>
      <w:r w:rsidR="007069DC" w:rsidRPr="00514F2B">
        <w:rPr>
          <w:lang w:val="uk-UA"/>
        </w:rPr>
        <w:t xml:space="preserve"> </w:t>
      </w: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678"/>
        <w:gridCol w:w="2551"/>
        <w:gridCol w:w="1844"/>
      </w:tblGrid>
      <w:tr w:rsidR="006C2198" w:rsidRPr="00EC6FED" w:rsidTr="006C2198">
        <w:tc>
          <w:tcPr>
            <w:tcW w:w="567" w:type="dxa"/>
            <w:vAlign w:val="center"/>
          </w:tcPr>
          <w:p w:rsidR="006C2198" w:rsidRPr="00EC6FED" w:rsidRDefault="006C2198" w:rsidP="00C61650">
            <w:pPr>
              <w:jc w:val="center"/>
              <w:rPr>
                <w:b/>
                <w:lang w:val="uk-UA"/>
              </w:rPr>
            </w:pPr>
            <w:r w:rsidRPr="00EC6FED">
              <w:rPr>
                <w:b/>
                <w:sz w:val="22"/>
                <w:szCs w:val="22"/>
                <w:lang w:val="uk-UA"/>
              </w:rPr>
              <w:t xml:space="preserve">№ </w:t>
            </w:r>
          </w:p>
          <w:p w:rsidR="006C2198" w:rsidRPr="00EC6FED" w:rsidRDefault="006C2198" w:rsidP="00C61650">
            <w:pPr>
              <w:jc w:val="center"/>
              <w:rPr>
                <w:b/>
                <w:lang w:val="uk-UA"/>
              </w:rPr>
            </w:pPr>
            <w:r w:rsidRPr="00EC6FED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7229" w:type="dxa"/>
            <w:gridSpan w:val="2"/>
            <w:vAlign w:val="center"/>
          </w:tcPr>
          <w:p w:rsidR="006C2198" w:rsidRPr="00EC6FED" w:rsidRDefault="006C2198" w:rsidP="00C61650">
            <w:pPr>
              <w:jc w:val="center"/>
              <w:rPr>
                <w:b/>
                <w:lang w:val="uk-UA"/>
              </w:rPr>
            </w:pPr>
            <w:r w:rsidRPr="00EC6FED">
              <w:rPr>
                <w:b/>
                <w:sz w:val="22"/>
                <w:szCs w:val="22"/>
                <w:lang w:val="uk-UA"/>
              </w:rPr>
              <w:t>Медико-технічні вимоги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C6FED">
              <w:rPr>
                <w:b/>
                <w:sz w:val="20"/>
                <w:szCs w:val="20"/>
                <w:lang w:val="uk-UA"/>
              </w:rPr>
              <w:t>Відповідність</w:t>
            </w:r>
          </w:p>
          <w:p w:rsidR="006C2198" w:rsidRPr="00EC6FED" w:rsidRDefault="006C2198" w:rsidP="00C61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C6FED">
              <w:rPr>
                <w:b/>
                <w:sz w:val="20"/>
                <w:szCs w:val="20"/>
                <w:lang w:val="uk-UA"/>
              </w:rPr>
              <w:t xml:space="preserve">(так/ні) з посиланням на стор. тех. </w:t>
            </w:r>
            <w:proofErr w:type="spellStart"/>
            <w:r w:rsidRPr="00EC6FED">
              <w:rPr>
                <w:b/>
                <w:sz w:val="20"/>
                <w:szCs w:val="20"/>
                <w:lang w:val="uk-UA"/>
              </w:rPr>
              <w:t>докум</w:t>
            </w:r>
            <w:proofErr w:type="spellEnd"/>
            <w:r w:rsidRPr="00EC6FED">
              <w:rPr>
                <w:b/>
                <w:sz w:val="20"/>
                <w:szCs w:val="20"/>
                <w:lang w:val="uk-UA"/>
              </w:rPr>
              <w:t>. виробника</w:t>
            </w:r>
          </w:p>
        </w:tc>
      </w:tr>
      <w:tr w:rsidR="006C2198" w:rsidRPr="00EC6FED" w:rsidTr="006C2198">
        <w:trPr>
          <w:trHeight w:val="405"/>
        </w:trPr>
        <w:tc>
          <w:tcPr>
            <w:tcW w:w="567" w:type="dxa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  <w:r w:rsidRPr="00EC6FED">
              <w:rPr>
                <w:b/>
                <w:lang w:val="uk-UA"/>
              </w:rPr>
              <w:t>1</w:t>
            </w: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  <w:proofErr w:type="spellStart"/>
            <w:r w:rsidRPr="00EC6FED">
              <w:rPr>
                <w:rFonts w:eastAsia="Tahoma"/>
                <w:b/>
                <w:color w:val="00000A"/>
                <w:lang w:val="uk-UA" w:eastAsia="zh-CN" w:bidi="hi-IN"/>
              </w:rPr>
              <w:t>Шейвер</w:t>
            </w:r>
            <w:proofErr w:type="spellEnd"/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  <w:r w:rsidRPr="00EC6FED">
              <w:rPr>
                <w:b/>
                <w:lang w:val="uk-UA"/>
              </w:rPr>
              <w:t>1 комплект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 w:val="restart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Можливість горизонтальних маніпуляцій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Наявність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Рівномірний крутний момент без втрати потужності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Наявність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 xml:space="preserve">Режим роботи: короткочасний з </w:t>
            </w:r>
            <w:proofErr w:type="spellStart"/>
            <w:r w:rsidRPr="00EC6FED">
              <w:rPr>
                <w:color w:val="1A1A1A"/>
                <w:lang w:val="uk-UA"/>
              </w:rPr>
              <w:t>електрогальмуванням</w:t>
            </w:r>
            <w:proofErr w:type="spellEnd"/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Відповідність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Час роботи не менш 30”/ Час паузи: не більш 10”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Відповідність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Система захисту від повільного прискорення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Наявність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Електронне керування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Наявність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Швидке з’єднання для легкого використання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Відповідність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tabs>
                <w:tab w:val="left" w:pos="1020"/>
              </w:tabs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 xml:space="preserve">Кутова передача та наконечник </w:t>
            </w:r>
            <w:proofErr w:type="spellStart"/>
            <w:r w:rsidRPr="00EC6FED">
              <w:rPr>
                <w:color w:val="1A1A1A"/>
                <w:lang w:val="uk-UA"/>
              </w:rPr>
              <w:t>автоклавуються</w:t>
            </w:r>
            <w:proofErr w:type="spellEnd"/>
            <w:r w:rsidRPr="00EC6FED">
              <w:rPr>
                <w:color w:val="1A1A1A"/>
                <w:lang w:val="uk-UA"/>
              </w:rPr>
              <w:t xml:space="preserve">                                                                                     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Відповідність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Редуктор універсальний та підходить для всіх розмірів лез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Відповідність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lang w:val="uk-UA"/>
              </w:rPr>
              <w:t>Максимальна швидкість обертання не менш 140 об/хв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Відповідність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ind w:hanging="2"/>
              <w:rPr>
                <w:lang w:val="uk-UA"/>
              </w:rPr>
            </w:pPr>
            <w:r w:rsidRPr="00EC6FED">
              <w:rPr>
                <w:lang w:val="uk-UA"/>
              </w:rPr>
              <w:t>Швидкість холостого ходу:не більш 130 об/</w:t>
            </w:r>
            <w:proofErr w:type="spellStart"/>
            <w:r w:rsidRPr="00EC6FED">
              <w:rPr>
                <w:lang w:val="uk-UA"/>
              </w:rPr>
              <w:t>хв</w:t>
            </w:r>
            <w:proofErr w:type="spellEnd"/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Відповідність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 xml:space="preserve">Ріжучі трубки  багаторазові                                                                          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Відповідність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Захист від проникнення води не менш ніж IPX7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Відповідність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 xml:space="preserve">Можливість повного занурення та </w:t>
            </w:r>
            <w:proofErr w:type="spellStart"/>
            <w:r w:rsidRPr="00EC6FED">
              <w:rPr>
                <w:color w:val="1A1A1A"/>
                <w:lang w:val="uk-UA"/>
              </w:rPr>
              <w:lastRenderedPageBreak/>
              <w:t>стерілізації</w:t>
            </w:r>
            <w:proofErr w:type="spellEnd"/>
            <w:r w:rsidRPr="00EC6FED">
              <w:rPr>
                <w:color w:val="1A1A1A"/>
                <w:lang w:val="uk-UA"/>
              </w:rPr>
              <w:t xml:space="preserve"> парою моторного приводу, з’єднуваного кабелю, коробки передач та ріжучих трубок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lastRenderedPageBreak/>
              <w:t>Відповідність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</w:tr>
      <w:tr w:rsidR="006C2198" w:rsidRPr="00EC6FED" w:rsidTr="006C2198">
        <w:trPr>
          <w:trHeight w:val="462"/>
        </w:trPr>
        <w:tc>
          <w:tcPr>
            <w:tcW w:w="567" w:type="dxa"/>
            <w:vMerge w:val="restart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</w:p>
        </w:tc>
        <w:tc>
          <w:tcPr>
            <w:tcW w:w="9073" w:type="dxa"/>
            <w:gridSpan w:val="3"/>
            <w:vAlign w:val="center"/>
          </w:tcPr>
          <w:p w:rsidR="006C2198" w:rsidRPr="00EC6FED" w:rsidRDefault="006C2198" w:rsidP="00C61650">
            <w:pPr>
              <w:ind w:hanging="2"/>
              <w:rPr>
                <w:b/>
                <w:lang w:val="uk-UA"/>
              </w:rPr>
            </w:pPr>
            <w:r w:rsidRPr="00EC6FED">
              <w:rPr>
                <w:b/>
                <w:color w:val="1A1A1A"/>
                <w:lang w:val="uk-UA"/>
              </w:rPr>
              <w:t>Комплектація:</w:t>
            </w: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color w:val="000000"/>
                <w:lang w:val="uk-UA" w:eastAsia="de-DE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Основний блок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1 штука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000000"/>
                <w:lang w:val="uk-UA" w:eastAsia="de-DE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color w:val="000000"/>
                <w:lang w:val="uk-UA" w:eastAsia="de-DE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Привідний двигун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Наявність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000000"/>
                <w:lang w:val="uk-UA" w:eastAsia="de-DE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color w:val="000000"/>
                <w:lang w:val="uk-UA" w:eastAsia="de-DE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Кабель інструментальний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Наявність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000000"/>
                <w:lang w:val="uk-UA" w:eastAsia="de-DE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color w:val="000000"/>
                <w:lang w:val="uk-UA" w:eastAsia="de-DE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Шнур живлення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Наявність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000000"/>
                <w:lang w:val="uk-UA" w:eastAsia="de-DE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color w:val="000000"/>
                <w:lang w:val="uk-UA" w:eastAsia="de-DE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 xml:space="preserve">Ріжуча трубка, сталь медичного класу / </w:t>
            </w:r>
            <w:proofErr w:type="spellStart"/>
            <w:r w:rsidRPr="00EC6FED">
              <w:rPr>
                <w:color w:val="1A1A1A"/>
                <w:lang w:val="uk-UA"/>
              </w:rPr>
              <w:t>автоклавується</w:t>
            </w:r>
            <w:proofErr w:type="spellEnd"/>
            <w:r w:rsidRPr="00EC6FED">
              <w:rPr>
                <w:color w:val="1A1A1A"/>
                <w:lang w:val="uk-UA"/>
              </w:rPr>
              <w:t>, зубчастий край, одинарний розріз, Ø 15 мм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1 штука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000000"/>
                <w:lang w:val="uk-UA" w:eastAsia="de-DE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 w:val="restart"/>
            <w:vAlign w:val="center"/>
          </w:tcPr>
          <w:p w:rsidR="006C2198" w:rsidRPr="00EC6FED" w:rsidRDefault="006C2198" w:rsidP="00C61650">
            <w:pPr>
              <w:ind w:hanging="2"/>
              <w:rPr>
                <w:color w:val="000000"/>
                <w:lang w:val="uk-UA" w:eastAsia="de-DE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 xml:space="preserve">Ущільнювач для всіх діаметрів ріжучих труб, </w:t>
            </w:r>
            <w:proofErr w:type="spellStart"/>
            <w:r w:rsidRPr="00EC6FED">
              <w:rPr>
                <w:color w:val="1A1A1A"/>
                <w:lang w:val="uk-UA"/>
              </w:rPr>
              <w:t>сілікон</w:t>
            </w:r>
            <w:proofErr w:type="spellEnd"/>
            <w:r w:rsidRPr="00EC6FED">
              <w:rPr>
                <w:color w:val="1A1A1A"/>
                <w:lang w:val="uk-UA"/>
              </w:rPr>
              <w:t xml:space="preserve"> </w:t>
            </w:r>
            <w:proofErr w:type="spellStart"/>
            <w:r w:rsidRPr="00EC6FED">
              <w:rPr>
                <w:color w:val="1A1A1A"/>
                <w:lang w:val="uk-UA"/>
              </w:rPr>
              <w:t>автоклавний</w:t>
            </w:r>
            <w:proofErr w:type="spellEnd"/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 xml:space="preserve">1 </w:t>
            </w:r>
            <w:proofErr w:type="spellStart"/>
            <w:r w:rsidRPr="00EC6FED">
              <w:rPr>
                <w:color w:val="1A1A1A"/>
                <w:lang w:val="uk-UA"/>
              </w:rPr>
              <w:t>уп</w:t>
            </w:r>
            <w:proofErr w:type="spellEnd"/>
            <w:r w:rsidRPr="00EC6FED">
              <w:rPr>
                <w:color w:val="1A1A1A"/>
                <w:lang w:val="uk-UA"/>
              </w:rPr>
              <w:t xml:space="preserve"> (10 </w:t>
            </w:r>
            <w:proofErr w:type="spellStart"/>
            <w:r w:rsidRPr="00EC6FED">
              <w:rPr>
                <w:color w:val="1A1A1A"/>
                <w:lang w:val="uk-UA"/>
              </w:rPr>
              <w:t>шт</w:t>
            </w:r>
            <w:proofErr w:type="spellEnd"/>
            <w:r w:rsidRPr="00EC6FED">
              <w:rPr>
                <w:color w:val="1A1A1A"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000000"/>
                <w:lang w:val="uk-UA" w:eastAsia="de-DE"/>
              </w:rPr>
            </w:pPr>
          </w:p>
        </w:tc>
      </w:tr>
      <w:tr w:rsidR="006C2198" w:rsidRPr="00EC6FED" w:rsidTr="006C2198">
        <w:trPr>
          <w:trHeight w:val="20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color w:val="000000"/>
                <w:lang w:val="uk-UA" w:eastAsia="de-DE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 xml:space="preserve">Троакар (клапанні </w:t>
            </w:r>
            <w:proofErr w:type="spellStart"/>
            <w:r w:rsidRPr="00EC6FED">
              <w:rPr>
                <w:color w:val="1A1A1A"/>
                <w:lang w:val="uk-UA"/>
              </w:rPr>
              <w:t>створки</w:t>
            </w:r>
            <w:proofErr w:type="spellEnd"/>
            <w:r w:rsidRPr="00EC6FED">
              <w:rPr>
                <w:color w:val="1A1A1A"/>
                <w:lang w:val="uk-UA"/>
              </w:rPr>
              <w:t xml:space="preserve">, конічний </w:t>
            </w:r>
            <w:proofErr w:type="spellStart"/>
            <w:r w:rsidRPr="00EC6FED">
              <w:rPr>
                <w:color w:val="1A1A1A"/>
                <w:lang w:val="uk-UA"/>
              </w:rPr>
              <w:t>обтуратор</w:t>
            </w:r>
            <w:proofErr w:type="spellEnd"/>
            <w:r w:rsidRPr="00EC6FED">
              <w:rPr>
                <w:color w:val="1A1A1A"/>
                <w:lang w:val="uk-UA"/>
              </w:rPr>
              <w:t>, тубус металевий гладкий) Ø 15 мм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 xml:space="preserve">1 </w:t>
            </w:r>
            <w:proofErr w:type="spellStart"/>
            <w:r w:rsidRPr="00EC6FED">
              <w:rPr>
                <w:color w:val="1A1A1A"/>
                <w:lang w:val="uk-UA"/>
              </w:rPr>
              <w:t>шт</w:t>
            </w:r>
            <w:proofErr w:type="spellEnd"/>
          </w:p>
        </w:tc>
        <w:tc>
          <w:tcPr>
            <w:tcW w:w="1843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000000"/>
                <w:lang w:val="uk-UA" w:eastAsia="de-DE"/>
              </w:rPr>
            </w:pPr>
          </w:p>
        </w:tc>
      </w:tr>
      <w:tr w:rsidR="006C2198" w:rsidRPr="002D6F33" w:rsidTr="006C2198">
        <w:trPr>
          <w:trHeight w:val="433"/>
        </w:trPr>
        <w:tc>
          <w:tcPr>
            <w:tcW w:w="567" w:type="dxa"/>
            <w:vMerge/>
            <w:vAlign w:val="center"/>
          </w:tcPr>
          <w:p w:rsidR="006C2198" w:rsidRPr="00EC6FED" w:rsidRDefault="006C2198" w:rsidP="00C61650">
            <w:pPr>
              <w:ind w:hanging="2"/>
              <w:rPr>
                <w:color w:val="000000"/>
                <w:lang w:val="uk-UA" w:eastAsia="de-DE"/>
              </w:rPr>
            </w:pPr>
          </w:p>
        </w:tc>
        <w:tc>
          <w:tcPr>
            <w:tcW w:w="4678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Різець Ø 4,2 мм, вигнутий</w:t>
            </w:r>
          </w:p>
        </w:tc>
        <w:tc>
          <w:tcPr>
            <w:tcW w:w="2551" w:type="dxa"/>
            <w:vAlign w:val="center"/>
          </w:tcPr>
          <w:p w:rsidR="006C2198" w:rsidRPr="00EC6FED" w:rsidRDefault="006C2198" w:rsidP="00C61650">
            <w:pPr>
              <w:ind w:hanging="2"/>
              <w:rPr>
                <w:color w:val="1A1A1A"/>
                <w:lang w:val="uk-UA"/>
              </w:rPr>
            </w:pPr>
            <w:r w:rsidRPr="00EC6FED">
              <w:rPr>
                <w:color w:val="1A1A1A"/>
                <w:lang w:val="uk-UA"/>
              </w:rPr>
              <w:t>1шт</w:t>
            </w:r>
          </w:p>
        </w:tc>
        <w:tc>
          <w:tcPr>
            <w:tcW w:w="1843" w:type="dxa"/>
            <w:vAlign w:val="center"/>
          </w:tcPr>
          <w:p w:rsidR="006C2198" w:rsidRPr="002D6F33" w:rsidRDefault="006C2198" w:rsidP="00C61650">
            <w:pPr>
              <w:ind w:hanging="2"/>
              <w:rPr>
                <w:color w:val="000000"/>
                <w:lang w:val="uk-UA" w:eastAsia="de-DE"/>
              </w:rPr>
            </w:pPr>
          </w:p>
        </w:tc>
      </w:tr>
    </w:tbl>
    <w:p w:rsidR="007069DC" w:rsidRPr="000E1BAF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</w:pP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p w:rsidR="00686AD5" w:rsidRPr="00514F2B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 xml:space="preserve">5. </w:t>
      </w:r>
      <w:r w:rsidRPr="00514F2B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514F2B">
        <w:rPr>
          <w:rFonts w:eastAsiaTheme="minorHAnsi"/>
          <w:bCs/>
          <w:lang w:val="uk-UA" w:eastAsia="en-US"/>
        </w:rPr>
        <w:t>:</w:t>
      </w:r>
      <w:r w:rsidR="00686AD5" w:rsidRPr="00514F2B">
        <w:rPr>
          <w:lang w:val="uk-UA"/>
        </w:rPr>
        <w:t xml:space="preserve"> </w:t>
      </w:r>
    </w:p>
    <w:p w:rsidR="009608AA" w:rsidRPr="00514F2B" w:rsidRDefault="009608AA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>Визначено згідно заявок клінічних підрозділів та відповідно до розрахунку кошторису на 202</w:t>
      </w:r>
      <w:r w:rsidR="00F93830" w:rsidRPr="00514F2B">
        <w:rPr>
          <w:rFonts w:eastAsiaTheme="minorHAnsi"/>
          <w:lang w:val="uk-UA" w:eastAsia="en-US"/>
        </w:rPr>
        <w:t>3</w:t>
      </w:r>
      <w:r w:rsidRPr="00514F2B">
        <w:rPr>
          <w:rFonts w:eastAsiaTheme="minorHAnsi"/>
          <w:lang w:val="uk-UA" w:eastAsia="en-US"/>
        </w:rPr>
        <w:t xml:space="preserve"> рік </w:t>
      </w:r>
      <w:r w:rsidRPr="00514F2B">
        <w:rPr>
          <w:lang w:val="uk-UA"/>
        </w:rPr>
        <w:t xml:space="preserve">(загальний фонд), по КЕКВ 3210 за КПКВК 6561190 «Фонд розвитку закладів </w:t>
      </w:r>
      <w:r w:rsidR="00F93830" w:rsidRPr="00514F2B">
        <w:rPr>
          <w:lang w:val="uk-UA"/>
        </w:rPr>
        <w:t>спеціалізованої</w:t>
      </w:r>
      <w:r w:rsidRPr="00514F2B">
        <w:rPr>
          <w:lang w:val="uk-UA"/>
        </w:rPr>
        <w:t xml:space="preserve"> медичної допомоги»</w:t>
      </w:r>
      <w:r w:rsidRPr="00514F2B">
        <w:rPr>
          <w:rFonts w:eastAsiaTheme="minorHAnsi"/>
          <w:bCs/>
          <w:lang w:val="uk-UA" w:eastAsia="en-US"/>
        </w:rPr>
        <w:t xml:space="preserve">, </w:t>
      </w:r>
      <w:r w:rsidRPr="00514F2B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</w:p>
    <w:p w:rsidR="00C407F7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98395D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lang w:val="uk-UA"/>
        </w:rPr>
        <w:t xml:space="preserve">6. </w:t>
      </w:r>
      <w:r w:rsidRPr="00514F2B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C407F7" w:rsidRPr="00514F2B" w:rsidRDefault="006C2198" w:rsidP="0098395D">
      <w:pPr>
        <w:autoSpaceDE w:val="0"/>
        <w:autoSpaceDN w:val="0"/>
        <w:adjustRightInd w:val="0"/>
        <w:spacing w:line="220" w:lineRule="exact"/>
        <w:jc w:val="both"/>
        <w:rPr>
          <w:lang w:val="uk-UA"/>
        </w:rPr>
      </w:pPr>
      <w:r>
        <w:rPr>
          <w:bCs/>
          <w:lang w:val="uk-UA"/>
        </w:rPr>
        <w:t>756</w:t>
      </w:r>
      <w:r w:rsidR="00F93830" w:rsidRPr="00514F2B">
        <w:rPr>
          <w:bCs/>
          <w:lang w:val="uk-UA"/>
        </w:rPr>
        <w:t> 000,00</w:t>
      </w:r>
      <w:r w:rsidR="00F93830" w:rsidRPr="00514F2B">
        <w:rPr>
          <w:lang w:val="uk-UA"/>
        </w:rPr>
        <w:t xml:space="preserve"> грн. (</w:t>
      </w:r>
      <w:r>
        <w:rPr>
          <w:lang w:val="uk-UA"/>
        </w:rPr>
        <w:t>Сімсот п’ятдесят</w:t>
      </w:r>
      <w:bookmarkStart w:id="0" w:name="_GoBack"/>
      <w:bookmarkEnd w:id="0"/>
      <w:r>
        <w:rPr>
          <w:lang w:val="uk-UA"/>
        </w:rPr>
        <w:t xml:space="preserve"> шість тис.</w:t>
      </w:r>
      <w:r w:rsidR="00F93830" w:rsidRPr="00514F2B">
        <w:rPr>
          <w:lang w:val="uk-UA"/>
        </w:rPr>
        <w:t xml:space="preserve"> грн. 00 коп.)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7. </w:t>
      </w:r>
      <w:r w:rsidRPr="00514F2B">
        <w:rPr>
          <w:b/>
          <w:lang w:val="uk-UA"/>
        </w:rPr>
        <w:t>Обґрунтування очікуваної вартості предмета закупівлі</w:t>
      </w:r>
      <w:r w:rsidRPr="00514F2B">
        <w:rPr>
          <w:lang w:val="uk-UA"/>
        </w:rPr>
        <w:t xml:space="preserve">: </w:t>
      </w:r>
    </w:p>
    <w:p w:rsidR="00744063" w:rsidRPr="00514F2B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  <w:r w:rsidRPr="00514F2B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514F2B">
        <w:rPr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E1BAF"/>
    <w:rsid w:val="00117AA5"/>
    <w:rsid w:val="00133C43"/>
    <w:rsid w:val="0015076E"/>
    <w:rsid w:val="0015739F"/>
    <w:rsid w:val="001808BB"/>
    <w:rsid w:val="00190D9D"/>
    <w:rsid w:val="001D3CC8"/>
    <w:rsid w:val="002019FC"/>
    <w:rsid w:val="00212542"/>
    <w:rsid w:val="00273DB2"/>
    <w:rsid w:val="00282622"/>
    <w:rsid w:val="002920B8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935BD"/>
    <w:rsid w:val="004B6D85"/>
    <w:rsid w:val="004C0083"/>
    <w:rsid w:val="004E1EE1"/>
    <w:rsid w:val="004E5DD5"/>
    <w:rsid w:val="00514F2B"/>
    <w:rsid w:val="00565288"/>
    <w:rsid w:val="00595897"/>
    <w:rsid w:val="005D6AC9"/>
    <w:rsid w:val="005E1A5F"/>
    <w:rsid w:val="005F540C"/>
    <w:rsid w:val="00611727"/>
    <w:rsid w:val="00621B78"/>
    <w:rsid w:val="0067364A"/>
    <w:rsid w:val="00686AD5"/>
    <w:rsid w:val="00696F66"/>
    <w:rsid w:val="006C2198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C4FDD"/>
    <w:rsid w:val="008E252D"/>
    <w:rsid w:val="008E54AC"/>
    <w:rsid w:val="009014CA"/>
    <w:rsid w:val="00903CED"/>
    <w:rsid w:val="0093359E"/>
    <w:rsid w:val="0096071A"/>
    <w:rsid w:val="009608AA"/>
    <w:rsid w:val="0098395D"/>
    <w:rsid w:val="009D60D2"/>
    <w:rsid w:val="009F1C28"/>
    <w:rsid w:val="00A1473C"/>
    <w:rsid w:val="00A1571B"/>
    <w:rsid w:val="00A170C1"/>
    <w:rsid w:val="00A4046B"/>
    <w:rsid w:val="00AB2B10"/>
    <w:rsid w:val="00AB3F0C"/>
    <w:rsid w:val="00AB426F"/>
    <w:rsid w:val="00AD2BEE"/>
    <w:rsid w:val="00AE2B40"/>
    <w:rsid w:val="00B20090"/>
    <w:rsid w:val="00B55706"/>
    <w:rsid w:val="00B748F8"/>
    <w:rsid w:val="00BC47CE"/>
    <w:rsid w:val="00BE1136"/>
    <w:rsid w:val="00C306D6"/>
    <w:rsid w:val="00C3401C"/>
    <w:rsid w:val="00C407F7"/>
    <w:rsid w:val="00CB696E"/>
    <w:rsid w:val="00D05FE0"/>
    <w:rsid w:val="00D12699"/>
    <w:rsid w:val="00D276F2"/>
    <w:rsid w:val="00D5700D"/>
    <w:rsid w:val="00D71EFF"/>
    <w:rsid w:val="00D9546A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F045AA"/>
    <w:rsid w:val="00F07A2E"/>
    <w:rsid w:val="00F876FC"/>
    <w:rsid w:val="00F93830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"/>
    <w:basedOn w:val="a"/>
    <w:link w:val="ab"/>
    <w:uiPriority w:val="34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"/>
    <w:link w:val="aa"/>
    <w:uiPriority w:val="34"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038EE-450E-48C0-BA4A-694B140D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96</cp:revision>
  <cp:lastPrinted>2022-09-12T13:50:00Z</cp:lastPrinted>
  <dcterms:created xsi:type="dcterms:W3CDTF">2021-07-26T14:33:00Z</dcterms:created>
  <dcterms:modified xsi:type="dcterms:W3CDTF">2023-08-22T13:27:00Z</dcterms:modified>
</cp:coreProperties>
</file>