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14F2B">
        <w:rPr>
          <w:lang w:val="uk-UA"/>
        </w:rPr>
        <w:t xml:space="preserve">: </w:t>
      </w:r>
    </w:p>
    <w:p w:rsidR="00DC6EE8" w:rsidRPr="000E1BAF" w:rsidRDefault="000E1BAF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r w:rsidRPr="000E1BAF">
        <w:rPr>
          <w:lang w:val="uk-UA"/>
        </w:rPr>
        <w:t xml:space="preserve">ДК 021:2015 – </w:t>
      </w:r>
      <w:r w:rsidRPr="000E1BAF">
        <w:rPr>
          <w:lang w:val="uk-UA" w:eastAsia="ar-SA"/>
        </w:rPr>
        <w:t>33120000-7  «</w:t>
      </w:r>
      <w:r w:rsidRPr="000E1BAF">
        <w:rPr>
          <w:lang w:val="uk-UA"/>
        </w:rPr>
        <w:t>Системи</w:t>
      </w:r>
      <w:r w:rsidRPr="000E1BAF">
        <w:rPr>
          <w:spacing w:val="-5"/>
          <w:lang w:val="uk-UA"/>
        </w:rPr>
        <w:t xml:space="preserve"> </w:t>
      </w:r>
      <w:r w:rsidRPr="000E1BAF">
        <w:rPr>
          <w:lang w:val="uk-UA"/>
        </w:rPr>
        <w:t>реєстрації</w:t>
      </w:r>
      <w:r w:rsidRPr="000E1BAF">
        <w:rPr>
          <w:spacing w:val="-11"/>
          <w:lang w:val="uk-UA"/>
        </w:rPr>
        <w:t xml:space="preserve"> </w:t>
      </w:r>
      <w:r w:rsidRPr="000E1BAF">
        <w:rPr>
          <w:lang w:val="uk-UA"/>
        </w:rPr>
        <w:t>медичної</w:t>
      </w:r>
      <w:r w:rsidRPr="000E1BAF">
        <w:rPr>
          <w:spacing w:val="-4"/>
          <w:lang w:val="uk-UA"/>
        </w:rPr>
        <w:t xml:space="preserve"> </w:t>
      </w:r>
      <w:r w:rsidRPr="000E1BAF">
        <w:rPr>
          <w:lang w:val="uk-UA"/>
        </w:rPr>
        <w:t>інформації</w:t>
      </w:r>
      <w:r w:rsidRPr="000E1BAF">
        <w:rPr>
          <w:spacing w:val="-6"/>
          <w:lang w:val="uk-UA"/>
        </w:rPr>
        <w:t xml:space="preserve"> </w:t>
      </w:r>
      <w:r w:rsidRPr="000E1BAF">
        <w:rPr>
          <w:lang w:val="uk-UA"/>
        </w:rPr>
        <w:t>та</w:t>
      </w:r>
      <w:r w:rsidRPr="000E1BAF">
        <w:rPr>
          <w:spacing w:val="-4"/>
          <w:lang w:val="uk-UA"/>
        </w:rPr>
        <w:t xml:space="preserve"> </w:t>
      </w:r>
      <w:r w:rsidRPr="000E1BAF">
        <w:rPr>
          <w:lang w:val="uk-UA"/>
        </w:rPr>
        <w:t>дослідне</w:t>
      </w:r>
      <w:r w:rsidRPr="000E1BAF">
        <w:rPr>
          <w:spacing w:val="-4"/>
          <w:lang w:val="uk-UA"/>
        </w:rPr>
        <w:t xml:space="preserve"> </w:t>
      </w:r>
      <w:r w:rsidRPr="000E1BAF">
        <w:rPr>
          <w:lang w:val="uk-UA"/>
        </w:rPr>
        <w:t>обладнання</w:t>
      </w:r>
      <w:r w:rsidRPr="000E1BAF">
        <w:rPr>
          <w:lang w:val="uk-UA" w:eastAsia="ar-SA"/>
        </w:rPr>
        <w:t xml:space="preserve">» </w:t>
      </w:r>
      <w:r w:rsidRPr="000E1BAF">
        <w:rPr>
          <w:snapToGrid w:val="0"/>
          <w:lang w:val="uk-UA"/>
        </w:rPr>
        <w:t>(</w:t>
      </w:r>
      <w:r w:rsidRPr="000E1BAF">
        <w:rPr>
          <w:bCs/>
          <w:lang w:val="uk-UA" w:eastAsia="uk-UA"/>
        </w:rPr>
        <w:t>Електроенцефалограф</w:t>
      </w:r>
      <w:r w:rsidRPr="000E1BAF">
        <w:rPr>
          <w:bCs/>
          <w:color w:val="000000" w:themeColor="text1"/>
          <w:lang w:val="uk-UA"/>
        </w:rPr>
        <w:t xml:space="preserve">: НК 024:2023: </w:t>
      </w:r>
      <w:r w:rsidRPr="000E1BAF">
        <w:rPr>
          <w:bCs/>
          <w:lang w:val="uk-UA"/>
        </w:rPr>
        <w:t xml:space="preserve">11467 – </w:t>
      </w:r>
      <w:r w:rsidRPr="000E1BAF">
        <w:rPr>
          <w:bCs/>
          <w:lang w:val="uk-UA" w:eastAsia="uk-UA"/>
        </w:rPr>
        <w:t>Електроенцефалограф</w:t>
      </w:r>
      <w:r w:rsidRPr="000E1BAF">
        <w:rPr>
          <w:snapToGrid w:val="0"/>
          <w:lang w:val="uk-UA"/>
        </w:rPr>
        <w:t>)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0E1BAF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0E1BAF">
        <w:rPr>
          <w:lang w:val="uk-UA"/>
        </w:rPr>
        <w:t xml:space="preserve">3. </w:t>
      </w:r>
      <w:r w:rsidR="00DC6EE8" w:rsidRPr="000E1BAF">
        <w:rPr>
          <w:b/>
          <w:lang w:val="uk-UA"/>
        </w:rPr>
        <w:t>Ідентифікатор закупівлі</w:t>
      </w:r>
      <w:r w:rsidR="00DC6EE8" w:rsidRPr="000E1BAF">
        <w:rPr>
          <w:lang w:val="uk-UA"/>
        </w:rPr>
        <w:t xml:space="preserve">: </w:t>
      </w:r>
      <w:r w:rsidR="000E1BAF" w:rsidRPr="000E1BAF">
        <w:rPr>
          <w:color w:val="242638"/>
          <w:shd w:val="clear" w:color="auto" w:fill="FFFFFF"/>
        </w:rPr>
        <w:t>UA-2023-06-29-011038-a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94040C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94040C">
        <w:rPr>
          <w:shd w:val="clear" w:color="auto" w:fill="FFFFFF"/>
          <w:lang w:val="uk-UA"/>
        </w:rPr>
        <w:t xml:space="preserve">4. </w:t>
      </w:r>
      <w:r w:rsidRPr="0094040C">
        <w:rPr>
          <w:b/>
          <w:lang w:val="uk-UA"/>
        </w:rPr>
        <w:t>Обґрунтування технічних та якісних характеристик предмета закупівлі</w:t>
      </w:r>
      <w:r w:rsidRPr="0094040C">
        <w:rPr>
          <w:lang w:val="uk-UA"/>
        </w:rPr>
        <w:t xml:space="preserve">: </w:t>
      </w:r>
    </w:p>
    <w:p w:rsidR="00FE1ABD" w:rsidRPr="0094040C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94040C">
        <w:rPr>
          <w:lang w:val="uk-UA"/>
        </w:rPr>
        <w:t xml:space="preserve">У зв’язку із потребою оновлення матеріально-технічної бази Інституту, необхідно провести закупівлю медичного обладнання з метою оснащення </w:t>
      </w:r>
      <w:r w:rsidR="00F93830" w:rsidRPr="0094040C">
        <w:rPr>
          <w:lang w:val="uk-UA"/>
        </w:rPr>
        <w:t>відділен</w:t>
      </w:r>
      <w:r w:rsidR="00514F2B" w:rsidRPr="0094040C">
        <w:rPr>
          <w:lang w:val="uk-UA"/>
        </w:rPr>
        <w:t>ня</w:t>
      </w:r>
      <w:r w:rsidR="00860FA8">
        <w:rPr>
          <w:lang w:val="uk-UA"/>
        </w:rPr>
        <w:t xml:space="preserve"> функціональ</w:t>
      </w:r>
      <w:r w:rsidR="0094040C" w:rsidRPr="0094040C">
        <w:rPr>
          <w:lang w:val="uk-UA"/>
        </w:rPr>
        <w:t>ної діагностики,</w:t>
      </w:r>
      <w:r w:rsidRPr="0094040C">
        <w:rPr>
          <w:lang w:val="uk-UA"/>
        </w:rPr>
        <w:t xml:space="preserve"> </w:t>
      </w:r>
      <w:r w:rsidR="00025C97" w:rsidRPr="0094040C">
        <w:rPr>
          <w:lang w:val="uk-UA"/>
        </w:rPr>
        <w:t>призначений</w:t>
      </w:r>
      <w:r w:rsidR="00025C97" w:rsidRPr="0094040C">
        <w:rPr>
          <w:spacing w:val="1"/>
          <w:lang w:val="uk-UA"/>
        </w:rPr>
        <w:t xml:space="preserve"> </w:t>
      </w:r>
      <w:r w:rsidR="00025C97" w:rsidRPr="0094040C">
        <w:rPr>
          <w:lang w:val="uk-UA"/>
        </w:rPr>
        <w:t>для</w:t>
      </w:r>
      <w:r w:rsidR="00025C97" w:rsidRPr="0094040C">
        <w:rPr>
          <w:spacing w:val="-5"/>
          <w:lang w:val="uk-UA"/>
        </w:rPr>
        <w:t xml:space="preserve"> </w:t>
      </w:r>
      <w:r w:rsidR="00025C97" w:rsidRPr="0094040C">
        <w:rPr>
          <w:lang w:val="uk-UA"/>
        </w:rPr>
        <w:t>реєстрації</w:t>
      </w:r>
      <w:r w:rsidR="00025C97" w:rsidRPr="0094040C">
        <w:rPr>
          <w:spacing w:val="-9"/>
          <w:lang w:val="uk-UA"/>
        </w:rPr>
        <w:t xml:space="preserve"> </w:t>
      </w:r>
      <w:r w:rsidR="00025C97" w:rsidRPr="0094040C">
        <w:rPr>
          <w:lang w:val="uk-UA"/>
        </w:rPr>
        <w:t xml:space="preserve">енцефалограми </w:t>
      </w:r>
      <w:r w:rsidRPr="0094040C">
        <w:rPr>
          <w:lang w:val="uk-UA"/>
        </w:rPr>
        <w:t>з наступними медико-технічними вимогами, що встановлені висновком робочої групи, а саме:</w:t>
      </w:r>
      <w:r w:rsidR="007069DC" w:rsidRPr="0094040C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000"/>
        <w:gridCol w:w="3619"/>
        <w:gridCol w:w="1912"/>
      </w:tblGrid>
      <w:tr w:rsidR="000E1BAF" w:rsidRPr="00D35D46" w:rsidTr="00C61650">
        <w:trPr>
          <w:trHeight w:val="1295"/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jc w:val="center"/>
              <w:rPr>
                <w:b/>
              </w:rPr>
            </w:pPr>
            <w:r w:rsidRPr="00D35D46">
              <w:rPr>
                <w:b/>
                <w:sz w:val="22"/>
                <w:szCs w:val="22"/>
              </w:rPr>
              <w:t xml:space="preserve">№ </w:t>
            </w:r>
          </w:p>
          <w:p w:rsidR="000E1BAF" w:rsidRPr="00D35D46" w:rsidRDefault="000E1BAF" w:rsidP="00C61650">
            <w:pPr>
              <w:jc w:val="center"/>
              <w:rPr>
                <w:b/>
                <w:lang w:val="uk-UA"/>
              </w:rPr>
            </w:pPr>
            <w:r w:rsidRPr="00D35D46">
              <w:rPr>
                <w:b/>
                <w:sz w:val="22"/>
                <w:szCs w:val="22"/>
              </w:rPr>
              <w:t>з/</w:t>
            </w:r>
            <w:r w:rsidRPr="00D35D46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76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jc w:val="center"/>
              <w:rPr>
                <w:b/>
              </w:rPr>
            </w:pPr>
            <w:r w:rsidRPr="00D35D46">
              <w:rPr>
                <w:b/>
                <w:sz w:val="22"/>
                <w:szCs w:val="22"/>
              </w:rPr>
              <w:t xml:space="preserve">Медико-технічні </w:t>
            </w:r>
            <w:proofErr w:type="spellStart"/>
            <w:r w:rsidRPr="00D35D46">
              <w:rPr>
                <w:b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0E1BAF" w:rsidRPr="00D35D46" w:rsidRDefault="000E1BAF" w:rsidP="00C616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D46">
              <w:rPr>
                <w:b/>
                <w:sz w:val="20"/>
                <w:szCs w:val="20"/>
              </w:rPr>
              <w:t>Відповідність</w:t>
            </w:r>
            <w:proofErr w:type="spellEnd"/>
          </w:p>
          <w:p w:rsidR="000E1BAF" w:rsidRPr="00D35D46" w:rsidRDefault="000E1BAF" w:rsidP="00C61650">
            <w:pPr>
              <w:jc w:val="center"/>
              <w:rPr>
                <w:b/>
                <w:sz w:val="20"/>
                <w:szCs w:val="20"/>
              </w:rPr>
            </w:pPr>
            <w:r w:rsidRPr="00D35D46">
              <w:rPr>
                <w:b/>
                <w:sz w:val="20"/>
                <w:szCs w:val="20"/>
              </w:rPr>
              <w:t>(так/</w:t>
            </w:r>
            <w:proofErr w:type="spellStart"/>
            <w:r w:rsidRPr="00D35D46">
              <w:rPr>
                <w:b/>
                <w:sz w:val="20"/>
                <w:szCs w:val="20"/>
              </w:rPr>
              <w:t>ні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35D46">
              <w:rPr>
                <w:b/>
                <w:sz w:val="20"/>
                <w:szCs w:val="20"/>
              </w:rPr>
              <w:t>з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5D46">
              <w:rPr>
                <w:b/>
                <w:sz w:val="20"/>
                <w:szCs w:val="20"/>
              </w:rPr>
              <w:t>посиланням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D35D46">
              <w:rPr>
                <w:b/>
                <w:sz w:val="20"/>
                <w:szCs w:val="20"/>
              </w:rPr>
              <w:t>стор</w:t>
            </w:r>
            <w:proofErr w:type="spellEnd"/>
            <w:r w:rsidRPr="00D35D46">
              <w:rPr>
                <w:b/>
                <w:sz w:val="20"/>
                <w:szCs w:val="20"/>
              </w:rPr>
              <w:t xml:space="preserve">. тех. докум. </w:t>
            </w:r>
            <w:proofErr w:type="spellStart"/>
            <w:r w:rsidRPr="00D35D46">
              <w:rPr>
                <w:b/>
                <w:sz w:val="20"/>
                <w:szCs w:val="20"/>
              </w:rPr>
              <w:t>виробника</w:t>
            </w:r>
            <w:proofErr w:type="spellEnd"/>
          </w:p>
        </w:tc>
      </w:tr>
      <w:tr w:rsidR="000E1BAF" w:rsidRPr="00D35D46" w:rsidTr="00C61650">
        <w:trPr>
          <w:trHeight w:val="632"/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roofErr w:type="spellStart"/>
            <w:r w:rsidRPr="00D35D46">
              <w:rPr>
                <w:sz w:val="22"/>
                <w:szCs w:val="22"/>
                <w:lang w:eastAsia="it-IT"/>
              </w:rPr>
              <w:t>Використання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roofErr w:type="spellStart"/>
            <w:r w:rsidRPr="00D35D46">
              <w:rPr>
                <w:sz w:val="22"/>
                <w:szCs w:val="22"/>
              </w:rPr>
              <w:t>Прилад</w:t>
            </w:r>
            <w:proofErr w:type="spellEnd"/>
            <w:r w:rsidRPr="00D35D4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призначений</w:t>
            </w:r>
            <w:proofErr w:type="spellEnd"/>
            <w:r w:rsidRPr="00D35D46">
              <w:rPr>
                <w:spacing w:val="1"/>
                <w:sz w:val="22"/>
                <w:szCs w:val="22"/>
              </w:rPr>
              <w:t xml:space="preserve"> </w:t>
            </w:r>
            <w:r w:rsidRPr="00D35D46">
              <w:rPr>
                <w:sz w:val="22"/>
                <w:szCs w:val="22"/>
              </w:rPr>
              <w:t>для</w:t>
            </w:r>
            <w:r w:rsidRPr="00D35D4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реєстрації</w:t>
            </w:r>
            <w:proofErr w:type="spellEnd"/>
            <w:r w:rsidRPr="00D35D46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енцефалограми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Функціональні можливості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  <w:lang w:val="uk-UA" w:eastAsia="it-IT"/>
              </w:rPr>
            </w:pPr>
            <w:proofErr w:type="spellStart"/>
            <w:r w:rsidRPr="00D35D46">
              <w:rPr>
                <w:sz w:val="22"/>
                <w:szCs w:val="22"/>
                <w:lang w:val="uk-UA"/>
              </w:rPr>
              <w:t>Відеоелектроенцефалографія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полісомнографія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>, довготривалий моніторинг, секундомір, амбулаторний/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холтерівський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запис, викликані потенціали, неврологічний моніторинг відділення інтенсивної терапії, когнітивні викликані потенціали, потенціали, пов’язані з подіями, мозковий комп’ютерний інтерфейс, оцінка мозкової смерті, дослідницькі програми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bCs/>
                <w:sz w:val="22"/>
                <w:szCs w:val="22"/>
                <w:lang w:val="uk-UA"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Габарити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Не більше 47 х 123 х 210 мм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4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Вага приладу без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аккумулятора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Не більше 600 г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Блок Живлення</w:t>
            </w:r>
            <w:r w:rsidRPr="00D35D4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/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Живлення від USB комп’ютера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283"/>
              </w:tabs>
              <w:rPr>
                <w:b/>
                <w:bCs/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Зовнішнє джерело живлення 15 В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283"/>
              </w:tabs>
              <w:rPr>
                <w:b/>
                <w:bCs/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Внутрішнє живлення від акумуляторної батареї &gt; 8 годин у бездротовому режимі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283"/>
              </w:tabs>
              <w:rPr>
                <w:b/>
                <w:bCs/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Акумулятор заряджається під час підключення до комп’ютера або за допомогою зовнішнього зарядного пристрою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D35D46">
              <w:rPr>
                <w:sz w:val="22"/>
                <w:szCs w:val="22"/>
              </w:rPr>
              <w:t>еревірка</w:t>
            </w:r>
            <w:proofErr w:type="spellEnd"/>
            <w:r w:rsidRPr="00D35D46">
              <w:rPr>
                <w:sz w:val="22"/>
                <w:szCs w:val="22"/>
              </w:rPr>
              <w:t xml:space="preserve"> стану </w:t>
            </w:r>
            <w:proofErr w:type="spellStart"/>
            <w:r w:rsidRPr="00D35D46">
              <w:rPr>
                <w:sz w:val="22"/>
                <w:szCs w:val="22"/>
              </w:rPr>
              <w:t>акумулятора</w:t>
            </w:r>
            <w:proofErr w:type="spellEnd"/>
            <w:r w:rsidRPr="00D35D46">
              <w:rPr>
                <w:sz w:val="22"/>
                <w:szCs w:val="22"/>
              </w:rPr>
              <w:t xml:space="preserve"> на </w:t>
            </w:r>
            <w:proofErr w:type="spellStart"/>
            <w:r w:rsidRPr="00D35D46">
              <w:rPr>
                <w:sz w:val="22"/>
                <w:szCs w:val="22"/>
              </w:rPr>
              <w:t>РК-екрані</w:t>
            </w:r>
            <w:proofErr w:type="spellEnd"/>
            <w:r w:rsidRPr="00D35D46">
              <w:rPr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прилад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423"/>
              </w:tabs>
              <w:rPr>
                <w:b/>
                <w:bCs/>
                <w:lang w:val="uk-UA"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 w:eastAsia="it-IT"/>
              </w:rPr>
              <w:t>Канали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D35D46">
              <w:rPr>
                <w:sz w:val="22"/>
                <w:szCs w:val="22"/>
              </w:rPr>
              <w:t>ходів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56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Від 26 до 34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монополярних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каналів змінного/постійного струму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Можливість змінювати біполярні канали на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монополярні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uk-UA"/>
              </w:rPr>
            </w:pPr>
            <w:r w:rsidRPr="00D35D46">
              <w:rPr>
                <w:sz w:val="22"/>
                <w:szCs w:val="22"/>
                <w:lang w:val="uk-UA"/>
              </w:rPr>
              <w:t>Від 8 до 21 біполярних каналів змінного/постійного струму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en-US"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Можливість налаштувати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монополярні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канали як біполярні два на два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GND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5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1</w:t>
            </w:r>
            <w:r w:rsidRPr="00D35D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NE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uk-UA"/>
              </w:rPr>
            </w:pPr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4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Інші канали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Вхід для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пульсоксиметра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234"/>
              </w:tabs>
              <w:rPr>
                <w:lang w:val="uk-UA"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3 цифрових канали для SpO2 + HR + PLET (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опціонально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en-US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Цифрові канали для TTL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Trigger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IN і OUT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eastAsia="it-IT"/>
              </w:rPr>
              <w:t>Не меньше</w:t>
            </w:r>
            <w:r w:rsidRPr="00D35D46">
              <w:rPr>
                <w:sz w:val="22"/>
                <w:szCs w:val="22"/>
                <w:lang w:val="uk-UA" w:eastAsia="it-IT"/>
              </w:rPr>
              <w:t xml:space="preserve"> 2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Роз'єм для чепчика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en-US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Можливість налаштовувати кожен канал як виділений вхід для будь-якого сумісного датчика, такого як ЕКГ, дихання, CPAP, ЕМГ тощо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  <w:lang w:eastAsia="it-IT"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І</w:t>
            </w:r>
            <w:proofErr w:type="spellStart"/>
            <w:r w:rsidRPr="00D35D46">
              <w:rPr>
                <w:b/>
                <w:bCs/>
                <w:sz w:val="22"/>
                <w:szCs w:val="22"/>
              </w:rPr>
              <w:t>нтерфейс</w:t>
            </w:r>
            <w:proofErr w:type="spellEnd"/>
            <w:r w:rsidRPr="00D35D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b/>
                <w:bCs/>
                <w:sz w:val="22"/>
                <w:szCs w:val="22"/>
              </w:rPr>
              <w:t>користувача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/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en-US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tabs>
                <w:tab w:val="left" w:pos="1423"/>
              </w:tabs>
            </w:pPr>
            <w:r w:rsidRPr="00D35D46">
              <w:rPr>
                <w:sz w:val="22"/>
                <w:szCs w:val="22"/>
                <w:lang w:val="uk-UA"/>
              </w:rPr>
              <w:t>Графічний кольоровий РК-дисплей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Відображення на дисплеї: стан з'єднання, стан акумулятору, внутрішня пам'ять, режим роботи (очікування, вимірювання, калібрування або омметр), розташування електродів, візуалізацію з’єднань із збільшенням, графічний та числовий омметр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2</w:t>
            </w:r>
            <w:r w:rsidRPr="00D35D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Клавіші для ввімкнення/вимкнення живлення, навігації по меню та встановлення маркера події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/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  <w:bCs/>
              </w:rPr>
            </w:pPr>
            <w:r w:rsidRPr="00D35D46">
              <w:rPr>
                <w:b/>
                <w:bCs/>
                <w:sz w:val="22"/>
                <w:szCs w:val="22"/>
                <w:lang w:val="uk-UA"/>
              </w:rPr>
              <w:t>Додаткові можливості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/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Можливість послідовного з’єднання до 4 блоків (56*4)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Онлайн-перевірка опору, активується з підсилювача та програмного забезпечення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Значення імпедансу, що зберігаються в записі і відображаються як кольорова шкала, а також значення на РК-дисплеї, у програмному забезпеченні та на вхідних штекерах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Світлодіодний індикатор вхідного імпедансу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 xml:space="preserve">16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Гб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внутрішньої пам’яті з можливістю розширення до 64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Гб</w:t>
            </w:r>
            <w:proofErr w:type="spellEnd"/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 w:eastAsia="it-IT"/>
              </w:rPr>
            </w:pPr>
            <w:r w:rsidRPr="00D35D46">
              <w:rPr>
                <w:sz w:val="22"/>
                <w:szCs w:val="22"/>
                <w:lang w:val="uk-UA"/>
              </w:rPr>
              <w:t>Кнопка маркера пацієнта з дистанційним сповіщенням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Комп'ютерні інтерфейси: USB, LAN, Wi-Fi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Cs/>
                <w:lang w:val="uk-UA" w:eastAsia="it-IT"/>
              </w:rPr>
            </w:pPr>
            <w:r w:rsidRPr="00D35D46">
              <w:rPr>
                <w:bCs/>
                <w:sz w:val="22"/>
                <w:szCs w:val="22"/>
                <w:lang w:eastAsia="it-IT"/>
              </w:rPr>
              <w:t>Наявність</w:t>
            </w:r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>
            <w:pPr>
              <w:rPr>
                <w:lang w:val="uk-UA"/>
              </w:rPr>
            </w:pPr>
          </w:p>
        </w:tc>
      </w:tr>
      <w:tr w:rsidR="000E1BAF" w:rsidRPr="00D35D46" w:rsidTr="00C61650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pPr>
              <w:rPr>
                <w:b/>
              </w:rPr>
            </w:pPr>
            <w:proofErr w:type="spellStart"/>
            <w:r w:rsidRPr="00D35D46">
              <w:rPr>
                <w:b/>
                <w:sz w:val="22"/>
                <w:szCs w:val="22"/>
              </w:rPr>
              <w:t>Коплект</w:t>
            </w:r>
            <w:proofErr w:type="spellEnd"/>
            <w:r w:rsidRPr="00D35D46">
              <w:rPr>
                <w:b/>
                <w:sz w:val="22"/>
                <w:szCs w:val="22"/>
              </w:rPr>
              <w:t xml:space="preserve"> поставки: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0E1BAF" w:rsidRPr="00D35D46" w:rsidRDefault="000E1BAF" w:rsidP="00C61650">
            <w:r w:rsidRPr="00D35D46">
              <w:rPr>
                <w:sz w:val="22"/>
                <w:szCs w:val="22"/>
              </w:rPr>
              <w:t>ЕЕГ-система – 1шт</w:t>
            </w:r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lastRenderedPageBreak/>
              <w:t>ПК</w:t>
            </w:r>
            <w:r w:rsidRPr="00D35D46">
              <w:rPr>
                <w:sz w:val="22"/>
                <w:szCs w:val="22"/>
              </w:rPr>
              <w:t xml:space="preserve">  – 1шт</w:t>
            </w:r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ПЗ</w:t>
            </w:r>
            <w:r w:rsidRPr="00D35D46">
              <w:rPr>
                <w:sz w:val="22"/>
                <w:szCs w:val="22"/>
              </w:rPr>
              <w:t xml:space="preserve"> 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>Чепчики</w:t>
            </w:r>
            <w:r w:rsidRPr="00D35D46">
              <w:rPr>
                <w:sz w:val="22"/>
                <w:szCs w:val="22"/>
              </w:rPr>
              <w:t xml:space="preserve"> – </w:t>
            </w:r>
            <w:r w:rsidRPr="00D35D46">
              <w:rPr>
                <w:sz w:val="22"/>
                <w:szCs w:val="22"/>
                <w:lang w:val="uk-UA"/>
              </w:rPr>
              <w:t>3</w:t>
            </w:r>
            <w:r w:rsidRPr="00D35D46">
              <w:rPr>
                <w:sz w:val="22"/>
                <w:szCs w:val="22"/>
              </w:rPr>
              <w:t xml:space="preserve">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Світлодіодний стимулятор </w:t>
            </w:r>
            <w:r w:rsidRPr="00D35D46">
              <w:rPr>
                <w:sz w:val="22"/>
                <w:szCs w:val="22"/>
              </w:rPr>
              <w:t xml:space="preserve">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Відеокамера </w:t>
            </w:r>
            <w:r w:rsidRPr="00D35D46">
              <w:rPr>
                <w:sz w:val="22"/>
                <w:szCs w:val="22"/>
              </w:rPr>
              <w:t xml:space="preserve">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r w:rsidRPr="00D35D46">
              <w:rPr>
                <w:sz w:val="22"/>
                <w:szCs w:val="22"/>
                <w:lang w:val="uk-UA"/>
              </w:rPr>
              <w:t xml:space="preserve">Штанга для відеокамери </w:t>
            </w:r>
            <w:r w:rsidRPr="00D35D46">
              <w:rPr>
                <w:sz w:val="22"/>
                <w:szCs w:val="22"/>
              </w:rPr>
              <w:t xml:space="preserve">– 1 </w:t>
            </w:r>
            <w:proofErr w:type="spellStart"/>
            <w:r w:rsidRPr="00D35D46">
              <w:rPr>
                <w:sz w:val="22"/>
                <w:szCs w:val="22"/>
              </w:rPr>
              <w:t>шт</w:t>
            </w:r>
            <w:proofErr w:type="spellEnd"/>
          </w:p>
          <w:p w:rsidR="000E1BAF" w:rsidRPr="00D35D46" w:rsidRDefault="000E1BAF" w:rsidP="00C61650">
            <w:pPr>
              <w:rPr>
                <w:lang w:val="uk-UA"/>
              </w:rPr>
            </w:pPr>
            <w:r w:rsidRPr="00D35D46">
              <w:rPr>
                <w:sz w:val="22"/>
                <w:szCs w:val="22"/>
              </w:rPr>
              <w:t>П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ідлогова</w:t>
            </w:r>
            <w:proofErr w:type="spellEnd"/>
            <w:r w:rsidRPr="00D35D46">
              <w:rPr>
                <w:sz w:val="22"/>
                <w:szCs w:val="22"/>
                <w:lang w:val="uk-UA"/>
              </w:rPr>
              <w:t xml:space="preserve"> стійка – 1 </w:t>
            </w:r>
            <w:proofErr w:type="spellStart"/>
            <w:r w:rsidRPr="00D35D4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0E1BAF" w:rsidRPr="00D35D46" w:rsidRDefault="000E1BAF" w:rsidP="00C61650"/>
        </w:tc>
      </w:tr>
    </w:tbl>
    <w:p w:rsidR="007069DC" w:rsidRPr="000E1BAF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C407F7" w:rsidRPr="00514F2B" w:rsidRDefault="000E1BAF" w:rsidP="0098395D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2 000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>Два млн.</w:t>
      </w:r>
      <w:r w:rsidR="00F93830" w:rsidRPr="00514F2B">
        <w:rPr>
          <w:lang w:val="uk-UA"/>
        </w:rPr>
        <w:t xml:space="preserve"> грн. 00 коп.)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93636"/>
    <w:rsid w:val="000E1BAF"/>
    <w:rsid w:val="00117AA5"/>
    <w:rsid w:val="00133C43"/>
    <w:rsid w:val="0015076E"/>
    <w:rsid w:val="0015739F"/>
    <w:rsid w:val="001808BB"/>
    <w:rsid w:val="00190D9D"/>
    <w:rsid w:val="001C7E55"/>
    <w:rsid w:val="001D3CC8"/>
    <w:rsid w:val="002019FC"/>
    <w:rsid w:val="00212542"/>
    <w:rsid w:val="00273DB2"/>
    <w:rsid w:val="002920B8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B6D85"/>
    <w:rsid w:val="004C0083"/>
    <w:rsid w:val="004E1EE1"/>
    <w:rsid w:val="004E5DD5"/>
    <w:rsid w:val="00514F2B"/>
    <w:rsid w:val="00565288"/>
    <w:rsid w:val="00595897"/>
    <w:rsid w:val="005E1A5F"/>
    <w:rsid w:val="005F540C"/>
    <w:rsid w:val="005F7A41"/>
    <w:rsid w:val="00611727"/>
    <w:rsid w:val="00621B78"/>
    <w:rsid w:val="0067364A"/>
    <w:rsid w:val="00686AD5"/>
    <w:rsid w:val="00696F66"/>
    <w:rsid w:val="006D5FF8"/>
    <w:rsid w:val="006F79BF"/>
    <w:rsid w:val="007069DC"/>
    <w:rsid w:val="007224AC"/>
    <w:rsid w:val="00727771"/>
    <w:rsid w:val="00744063"/>
    <w:rsid w:val="00752BB8"/>
    <w:rsid w:val="00754EBA"/>
    <w:rsid w:val="00795606"/>
    <w:rsid w:val="007D5A49"/>
    <w:rsid w:val="007E0B3C"/>
    <w:rsid w:val="0080621E"/>
    <w:rsid w:val="00860FA8"/>
    <w:rsid w:val="008840DE"/>
    <w:rsid w:val="008C4FDD"/>
    <w:rsid w:val="008E252D"/>
    <w:rsid w:val="008E54AC"/>
    <w:rsid w:val="009014CA"/>
    <w:rsid w:val="00903CED"/>
    <w:rsid w:val="0094040C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C47CE"/>
    <w:rsid w:val="00BE1136"/>
    <w:rsid w:val="00C306D6"/>
    <w:rsid w:val="00C3401C"/>
    <w:rsid w:val="00C407F7"/>
    <w:rsid w:val="00CB696E"/>
    <w:rsid w:val="00D05FE0"/>
    <w:rsid w:val="00D12699"/>
    <w:rsid w:val="00D276F2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"/>
    <w:link w:val="aa"/>
    <w:uiPriority w:val="34"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6682-FB56-45D0-A5CA-96871A2D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95</cp:revision>
  <cp:lastPrinted>2022-09-12T13:50:00Z</cp:lastPrinted>
  <dcterms:created xsi:type="dcterms:W3CDTF">2021-07-26T14:33:00Z</dcterms:created>
  <dcterms:modified xsi:type="dcterms:W3CDTF">2023-08-22T13:37:00Z</dcterms:modified>
</cp:coreProperties>
</file>